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CD357" w14:textId="18A39F0D" w:rsidR="00BE7216" w:rsidRDefault="00BE7216" w:rsidP="009A40C7">
      <w:pPr>
        <w:pStyle w:val="berschrift1"/>
      </w:pPr>
      <w:r>
        <w:t>Passive Kühlsysteme für Gemeindegebäude</w:t>
      </w:r>
    </w:p>
    <w:p w14:paraId="4874983B" w14:textId="77777777" w:rsidR="00BE7216" w:rsidRDefault="00BE7216" w:rsidP="00BE7216">
      <w:pPr>
        <w:rPr>
          <w:b/>
          <w:bCs/>
        </w:rPr>
      </w:pPr>
    </w:p>
    <w:p w14:paraId="3C00F15E" w14:textId="77777777" w:rsidR="00BE7216" w:rsidRDefault="00BE7216" w:rsidP="00BE7216">
      <w:pPr>
        <w:rPr>
          <w:b/>
          <w:bCs/>
        </w:rPr>
      </w:pPr>
      <w:r>
        <w:rPr>
          <w:b/>
          <w:bCs/>
        </w:rPr>
        <w:t>Hintergrund</w:t>
      </w:r>
    </w:p>
    <w:p w14:paraId="0B386623" w14:textId="77777777" w:rsidR="00BE7216" w:rsidRDefault="00BE7216" w:rsidP="00BE7216">
      <w:r>
        <w:t xml:space="preserve">Passive Kühlsysteme erfüllen mehrere Aufgaben. Neben der Kühlung (meist oder mit geringen Betriebskosten) bieten bspw. außenliegende Verschattungssysteme in Form von Begrünungssystemen Lebensraum für Insekten, bereichern das Ortsbild und dienen als Feinstaubfilter. </w:t>
      </w:r>
    </w:p>
    <w:p w14:paraId="0DB30F08" w14:textId="77777777" w:rsidR="00BE7216" w:rsidRDefault="00BE7216" w:rsidP="00BE7216"/>
    <w:p w14:paraId="29544FDE" w14:textId="77777777" w:rsidR="00BE7216" w:rsidRDefault="00BE7216" w:rsidP="00BE7216">
      <w:r>
        <w:rPr>
          <w:b/>
          <w:bCs/>
        </w:rPr>
        <w:t>Beschluss</w:t>
      </w:r>
    </w:p>
    <w:p w14:paraId="2288C6B3" w14:textId="77777777" w:rsidR="00BE7216" w:rsidRDefault="00BE7216" w:rsidP="00BE7216">
      <w:r>
        <w:rPr>
          <w:rFonts w:ascii="Calibri" w:eastAsia="Calibri" w:hAnsi="Calibri" w:cs="Calibri"/>
          <w:color w:val="000000"/>
        </w:rPr>
        <w:t xml:space="preserve">Der Gemeinderat </w:t>
      </w:r>
      <w:r>
        <w:t>beschließt die Installation ausschließlich passiver Kühlsysteme für neue und bestehende Gemeindegebäude, wo die Gebäudestruktur dies erlaubt.</w:t>
      </w:r>
    </w:p>
    <w:p w14:paraId="743B8CB4" w14:textId="77777777" w:rsidR="00BE7216" w:rsidRDefault="00BE7216" w:rsidP="00BE7216"/>
    <w:p w14:paraId="2B91C0C4" w14:textId="77777777" w:rsidR="00BE7216" w:rsidRDefault="00BE7216" w:rsidP="00BE7216">
      <w:pPr>
        <w:rPr>
          <w:b/>
          <w:bCs/>
        </w:rPr>
      </w:pPr>
      <w:r>
        <w:rPr>
          <w:b/>
          <w:bCs/>
        </w:rPr>
        <w:t>Erläuterung</w:t>
      </w:r>
    </w:p>
    <w:p w14:paraId="119CDDEC" w14:textId="77777777" w:rsidR="00BE7216" w:rsidRDefault="00BE7216" w:rsidP="00BE7216">
      <w:r>
        <w:t>Beispiele:</w:t>
      </w:r>
    </w:p>
    <w:p w14:paraId="49FA5B7C" w14:textId="77777777" w:rsidR="00BE7216" w:rsidRDefault="00BE7216" w:rsidP="00BE7216">
      <w:pPr>
        <w:pStyle w:val="Listenabsatz"/>
        <w:numPr>
          <w:ilvl w:val="0"/>
          <w:numId w:val="1"/>
        </w:numPr>
      </w:pPr>
      <w:r>
        <w:t>natürliche Beschattung (z. B. Bäume)</w:t>
      </w:r>
    </w:p>
    <w:p w14:paraId="24947918" w14:textId="77777777" w:rsidR="00BE7216" w:rsidRDefault="00BE7216" w:rsidP="00BE7216">
      <w:pPr>
        <w:pStyle w:val="Listenabsatz"/>
        <w:numPr>
          <w:ilvl w:val="0"/>
          <w:numId w:val="1"/>
        </w:numPr>
      </w:pPr>
      <w:r>
        <w:t>Fassadenbegrünung</w:t>
      </w:r>
    </w:p>
    <w:p w14:paraId="6EF64769" w14:textId="77777777" w:rsidR="00BE7216" w:rsidRDefault="00BE7216" w:rsidP="00BE7216">
      <w:pPr>
        <w:pStyle w:val="Listenabsatz"/>
        <w:numPr>
          <w:ilvl w:val="0"/>
          <w:numId w:val="1"/>
        </w:numPr>
      </w:pPr>
      <w:r>
        <w:t>Verdunstungskühlung</w:t>
      </w:r>
    </w:p>
    <w:p w14:paraId="791E8219" w14:textId="77777777" w:rsidR="00BE7216" w:rsidRDefault="00BE7216" w:rsidP="00BE7216">
      <w:pPr>
        <w:pStyle w:val="Listenabsatz"/>
        <w:numPr>
          <w:ilvl w:val="0"/>
          <w:numId w:val="1"/>
        </w:numPr>
      </w:pPr>
      <w:r>
        <w:t>Dämmung</w:t>
      </w:r>
    </w:p>
    <w:p w14:paraId="2271FC22" w14:textId="77777777" w:rsidR="00BE7216" w:rsidRDefault="00BE7216" w:rsidP="00BE7216">
      <w:pPr>
        <w:pStyle w:val="Listenabsatz"/>
        <w:numPr>
          <w:ilvl w:val="0"/>
          <w:numId w:val="1"/>
        </w:numPr>
      </w:pPr>
      <w:r>
        <w:t>Ausrichtung des Gebäudes</w:t>
      </w:r>
    </w:p>
    <w:p w14:paraId="09E2725B" w14:textId="77777777" w:rsidR="00BE7216" w:rsidRDefault="00BE7216" w:rsidP="00BE7216">
      <w:pPr>
        <w:ind w:left="360"/>
      </w:pPr>
    </w:p>
    <w:p w14:paraId="4F49C3E8" w14:textId="77777777" w:rsidR="00BE7216" w:rsidRPr="00F70053" w:rsidRDefault="00BE7216" w:rsidP="00BE7216">
      <w:pPr>
        <w:rPr>
          <w:b/>
          <w:bCs/>
        </w:rPr>
      </w:pPr>
      <w:r w:rsidRPr="00F70053">
        <w:rPr>
          <w:b/>
          <w:bCs/>
        </w:rPr>
        <w:t>Förderungen und Hilfestellung</w:t>
      </w:r>
    </w:p>
    <w:p w14:paraId="5BED739F" w14:textId="77777777" w:rsidR="00BE7216" w:rsidRDefault="00BE7216" w:rsidP="00BE7216">
      <w:pPr>
        <w:contextualSpacing/>
      </w:pPr>
      <w:r w:rsidRPr="00CB7DB3">
        <w:t>Thermische Gebäudesanierung - Umfassende Sanierung</w:t>
      </w:r>
      <w:r>
        <w:t>:</w:t>
      </w:r>
    </w:p>
    <w:p w14:paraId="3F797A85" w14:textId="77777777" w:rsidR="00BE7216" w:rsidRPr="00F70053" w:rsidRDefault="00D422BE" w:rsidP="00BE7216">
      <w:pPr>
        <w:rPr>
          <w:b/>
          <w:bCs/>
        </w:rPr>
      </w:pPr>
      <w:hyperlink r:id="rId7" w:history="1">
        <w:r w:rsidR="00BE7216" w:rsidRPr="008A591B">
          <w:rPr>
            <w:rStyle w:val="Hyperlink"/>
          </w:rPr>
          <w:t>https://www.umweltfoerderung.at/gemeinden/thermische-gebaeudesanierung-umfassende-sanierungh</w:t>
        </w:r>
      </w:hyperlink>
    </w:p>
    <w:p w14:paraId="17CFC700" w14:textId="4EB0FD75" w:rsidR="0096634A" w:rsidRDefault="0096634A"/>
    <w:sectPr w:rsidR="0096634A">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FF32B" w14:textId="77777777" w:rsidR="00BC314B" w:rsidRDefault="00BC314B" w:rsidP="00BC314B">
      <w:pPr>
        <w:spacing w:after="0" w:line="240" w:lineRule="auto"/>
      </w:pPr>
      <w:r>
        <w:separator/>
      </w:r>
    </w:p>
  </w:endnote>
  <w:endnote w:type="continuationSeparator" w:id="0">
    <w:p w14:paraId="50BACC04" w14:textId="77777777" w:rsidR="00BC314B" w:rsidRDefault="00BC314B" w:rsidP="00BC3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DC16" w14:textId="77777777" w:rsidR="00BC314B" w:rsidRDefault="00BC314B" w:rsidP="00BC314B">
      <w:pPr>
        <w:spacing w:after="0" w:line="240" w:lineRule="auto"/>
      </w:pPr>
      <w:r>
        <w:separator/>
      </w:r>
    </w:p>
  </w:footnote>
  <w:footnote w:type="continuationSeparator" w:id="0">
    <w:p w14:paraId="11CC5010" w14:textId="77777777" w:rsidR="00BC314B" w:rsidRDefault="00BC314B" w:rsidP="00BC3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760C5" w14:textId="77777777" w:rsidR="00BC314B" w:rsidRDefault="00BC314B" w:rsidP="00BC314B">
    <w:pPr>
      <w:pStyle w:val="Kopfzeile"/>
      <w:jc w:val="center"/>
      <w:rPr>
        <w:color w:val="000000"/>
        <w:sz w:val="32"/>
        <w:szCs w:val="32"/>
      </w:rPr>
    </w:pPr>
    <w:r>
      <w:rPr>
        <w:color w:val="000000"/>
        <w:sz w:val="32"/>
        <w:szCs w:val="32"/>
      </w:rPr>
      <w:t xml:space="preserve">Gemeinderatsbeschlüsse im Bereich </w:t>
    </w:r>
  </w:p>
  <w:p w14:paraId="34AF62A6" w14:textId="08C38FFE" w:rsidR="00BC314B" w:rsidRPr="00BC314B" w:rsidRDefault="00D422BE" w:rsidP="00D422BE">
    <w:pPr>
      <w:pStyle w:val="Kopfzeile"/>
      <w:jc w:val="center"/>
      <w:rPr>
        <w:b/>
        <w:bCs/>
        <w:sz w:val="32"/>
        <w:szCs w:val="32"/>
      </w:rPr>
    </w:pPr>
    <w:r w:rsidRPr="00D422BE">
      <w:rPr>
        <w:b/>
        <w:bCs/>
        <w:color w:val="000000"/>
        <w:sz w:val="32"/>
        <w:szCs w:val="32"/>
      </w:rPr>
      <w:t>Energieeffizienz und Energiesparen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07D6A"/>
    <w:multiLevelType w:val="hybridMultilevel"/>
    <w:tmpl w:val="955EE0C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C735103"/>
    <w:multiLevelType w:val="hybridMultilevel"/>
    <w:tmpl w:val="5590079C"/>
    <w:lvl w:ilvl="0" w:tplc="0C07000F">
      <w:start w:val="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76573966"/>
    <w:multiLevelType w:val="hybridMultilevel"/>
    <w:tmpl w:val="668A28E2"/>
    <w:lvl w:ilvl="0" w:tplc="A900F074">
      <w:start w:val="1"/>
      <w:numFmt w:val="bullet"/>
      <w:lvlText w:val="-"/>
      <w:lvlJc w:val="left"/>
      <w:pPr>
        <w:ind w:left="720" w:hanging="360"/>
      </w:pPr>
      <w:rPr>
        <w:rFonts w:ascii="Calibri" w:eastAsiaTheme="minorHAnsi" w:hAnsi="Calibri" w:cs="Calibri" w:hint="default"/>
      </w:rPr>
    </w:lvl>
    <w:lvl w:ilvl="1" w:tplc="4F724734">
      <w:start w:val="1"/>
      <w:numFmt w:val="bullet"/>
      <w:lvlText w:val="o"/>
      <w:lvlJc w:val="left"/>
      <w:pPr>
        <w:ind w:left="1440" w:hanging="360"/>
      </w:pPr>
      <w:rPr>
        <w:rFonts w:ascii="Courier New" w:hAnsi="Courier New" w:cs="Courier New" w:hint="default"/>
      </w:rPr>
    </w:lvl>
    <w:lvl w:ilvl="2" w:tplc="1144D862">
      <w:start w:val="1"/>
      <w:numFmt w:val="bullet"/>
      <w:lvlText w:val=""/>
      <w:lvlJc w:val="left"/>
      <w:pPr>
        <w:ind w:left="2160" w:hanging="360"/>
      </w:pPr>
      <w:rPr>
        <w:rFonts w:ascii="Wingdings" w:hAnsi="Wingdings" w:cs="Wingdings" w:hint="default"/>
      </w:rPr>
    </w:lvl>
    <w:lvl w:ilvl="3" w:tplc="E760CF12">
      <w:start w:val="1"/>
      <w:numFmt w:val="bullet"/>
      <w:lvlText w:val=""/>
      <w:lvlJc w:val="left"/>
      <w:pPr>
        <w:ind w:left="2880" w:hanging="360"/>
      </w:pPr>
      <w:rPr>
        <w:rFonts w:ascii="Symbol" w:hAnsi="Symbol" w:cs="Symbol" w:hint="default"/>
      </w:rPr>
    </w:lvl>
    <w:lvl w:ilvl="4" w:tplc="80106F4E">
      <w:start w:val="1"/>
      <w:numFmt w:val="bullet"/>
      <w:lvlText w:val="o"/>
      <w:lvlJc w:val="left"/>
      <w:pPr>
        <w:ind w:left="3600" w:hanging="360"/>
      </w:pPr>
      <w:rPr>
        <w:rFonts w:ascii="Courier New" w:hAnsi="Courier New" w:cs="Courier New" w:hint="default"/>
      </w:rPr>
    </w:lvl>
    <w:lvl w:ilvl="5" w:tplc="9CA2877E">
      <w:start w:val="1"/>
      <w:numFmt w:val="bullet"/>
      <w:lvlText w:val=""/>
      <w:lvlJc w:val="left"/>
      <w:pPr>
        <w:ind w:left="4320" w:hanging="360"/>
      </w:pPr>
      <w:rPr>
        <w:rFonts w:ascii="Wingdings" w:hAnsi="Wingdings" w:cs="Wingdings" w:hint="default"/>
      </w:rPr>
    </w:lvl>
    <w:lvl w:ilvl="6" w:tplc="5E38043A">
      <w:start w:val="1"/>
      <w:numFmt w:val="bullet"/>
      <w:lvlText w:val=""/>
      <w:lvlJc w:val="left"/>
      <w:pPr>
        <w:ind w:left="5040" w:hanging="360"/>
      </w:pPr>
      <w:rPr>
        <w:rFonts w:ascii="Symbol" w:hAnsi="Symbol" w:cs="Symbol" w:hint="default"/>
      </w:rPr>
    </w:lvl>
    <w:lvl w:ilvl="7" w:tplc="7BFA9692">
      <w:start w:val="1"/>
      <w:numFmt w:val="bullet"/>
      <w:lvlText w:val="o"/>
      <w:lvlJc w:val="left"/>
      <w:pPr>
        <w:ind w:left="5760" w:hanging="360"/>
      </w:pPr>
      <w:rPr>
        <w:rFonts w:ascii="Courier New" w:hAnsi="Courier New" w:cs="Courier New" w:hint="default"/>
      </w:rPr>
    </w:lvl>
    <w:lvl w:ilvl="8" w:tplc="C256E124">
      <w:start w:val="1"/>
      <w:numFmt w:val="bullet"/>
      <w:lvlText w:val=""/>
      <w:lvlJc w:val="left"/>
      <w:pPr>
        <w:ind w:left="6480" w:hanging="360"/>
      </w:pPr>
      <w:rPr>
        <w:rFonts w:ascii="Wingdings" w:hAnsi="Wingdings" w:cs="Wingdings" w:hint="default"/>
      </w:rPr>
    </w:lvl>
  </w:abstractNum>
  <w:num w:numId="1" w16cid:durableId="1608928798">
    <w:abstractNumId w:val="2"/>
  </w:num>
  <w:num w:numId="2" w16cid:durableId="742917288">
    <w:abstractNumId w:val="0"/>
  </w:num>
  <w:num w:numId="3" w16cid:durableId="1854372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216"/>
    <w:rsid w:val="0096634A"/>
    <w:rsid w:val="009A40C7"/>
    <w:rsid w:val="00BC314B"/>
    <w:rsid w:val="00BE7216"/>
    <w:rsid w:val="00D422B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B56AE"/>
  <w15:chartTrackingRefBased/>
  <w15:docId w15:val="{8B40ECD8-8629-433E-ADC2-9A911DEA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7216"/>
    <w:rPr>
      <w:kern w:val="0"/>
      <w14:ligatures w14:val="none"/>
    </w:rPr>
  </w:style>
  <w:style w:type="paragraph" w:styleId="berschrift1">
    <w:name w:val="heading 1"/>
    <w:basedOn w:val="Standard"/>
    <w:next w:val="Standard"/>
    <w:link w:val="berschrift1Zchn"/>
    <w:uiPriority w:val="9"/>
    <w:qFormat/>
    <w:rsid w:val="00BE7216"/>
    <w:pPr>
      <w:keepNext/>
      <w:keepLines/>
      <w:spacing w:before="480" w:after="200"/>
      <w:outlineLvl w:val="0"/>
    </w:pPr>
    <w:rPr>
      <w:rFonts w:asciiTheme="majorHAnsi" w:eastAsia="Arial" w:hAnsiTheme="majorHAnsi" w:cs="Arial"/>
      <w:b/>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E7216"/>
    <w:rPr>
      <w:rFonts w:asciiTheme="majorHAnsi" w:eastAsia="Arial" w:hAnsiTheme="majorHAnsi" w:cs="Arial"/>
      <w:b/>
      <w:kern w:val="0"/>
      <w:sz w:val="40"/>
      <w:szCs w:val="40"/>
      <w14:ligatures w14:val="none"/>
    </w:rPr>
  </w:style>
  <w:style w:type="character" w:styleId="Hyperlink">
    <w:name w:val="Hyperlink"/>
    <w:uiPriority w:val="99"/>
    <w:unhideWhenUsed/>
    <w:rsid w:val="00BE7216"/>
    <w:rPr>
      <w:color w:val="0563C1" w:themeColor="hyperlink"/>
      <w:u w:val="single"/>
    </w:rPr>
  </w:style>
  <w:style w:type="paragraph" w:styleId="Listenabsatz">
    <w:name w:val="List Paragraph"/>
    <w:basedOn w:val="Standard"/>
    <w:uiPriority w:val="34"/>
    <w:qFormat/>
    <w:rsid w:val="00BE7216"/>
    <w:pPr>
      <w:ind w:left="720"/>
      <w:contextualSpacing/>
    </w:pPr>
  </w:style>
  <w:style w:type="paragraph" w:styleId="Kopfzeile">
    <w:name w:val="header"/>
    <w:basedOn w:val="Standard"/>
    <w:link w:val="KopfzeileZchn"/>
    <w:uiPriority w:val="99"/>
    <w:unhideWhenUsed/>
    <w:rsid w:val="00BC31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C314B"/>
    <w:rPr>
      <w:kern w:val="0"/>
      <w14:ligatures w14:val="none"/>
    </w:rPr>
  </w:style>
  <w:style w:type="paragraph" w:styleId="Fuzeile">
    <w:name w:val="footer"/>
    <w:basedOn w:val="Standard"/>
    <w:link w:val="FuzeileZchn"/>
    <w:uiPriority w:val="99"/>
    <w:unhideWhenUsed/>
    <w:rsid w:val="00BC31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314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545026">
      <w:bodyDiv w:val="1"/>
      <w:marLeft w:val="0"/>
      <w:marRight w:val="0"/>
      <w:marTop w:val="0"/>
      <w:marBottom w:val="0"/>
      <w:divBdr>
        <w:top w:val="none" w:sz="0" w:space="0" w:color="auto"/>
        <w:left w:val="none" w:sz="0" w:space="0" w:color="auto"/>
        <w:bottom w:val="none" w:sz="0" w:space="0" w:color="auto"/>
        <w:right w:val="none" w:sz="0" w:space="0" w:color="auto"/>
      </w:divBdr>
    </w:div>
    <w:div w:id="167368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mweltfoerderung.at/gemeinden/thermische-gebaeudesanierung-umfassende-sani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782</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Schwarz</dc:creator>
  <cp:keywords/>
  <dc:description/>
  <cp:lastModifiedBy>Lena Schwarz</cp:lastModifiedBy>
  <cp:revision>4</cp:revision>
  <dcterms:created xsi:type="dcterms:W3CDTF">2023-09-26T11:13:00Z</dcterms:created>
  <dcterms:modified xsi:type="dcterms:W3CDTF">2023-09-27T07:29:00Z</dcterms:modified>
</cp:coreProperties>
</file>