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EB2C" w14:textId="77777777" w:rsidR="007151B6" w:rsidRDefault="007151B6" w:rsidP="007151B6">
      <w:pPr>
        <w:pStyle w:val="berschrift1"/>
      </w:pPr>
      <w:r>
        <w:t>Senkung der Raumtemperatur</w:t>
      </w:r>
    </w:p>
    <w:p w14:paraId="5FC0D312" w14:textId="77777777" w:rsidR="007151B6" w:rsidRDefault="007151B6" w:rsidP="007151B6">
      <w:pPr>
        <w:rPr>
          <w:b/>
          <w:bCs/>
        </w:rPr>
      </w:pPr>
    </w:p>
    <w:p w14:paraId="036E3C73" w14:textId="77777777" w:rsidR="007151B6" w:rsidRDefault="007151B6" w:rsidP="007151B6">
      <w:pPr>
        <w:rPr>
          <w:b/>
          <w:bCs/>
        </w:rPr>
      </w:pPr>
      <w:r>
        <w:rPr>
          <w:b/>
          <w:bCs/>
        </w:rPr>
        <w:t>Hintergrund</w:t>
      </w:r>
    </w:p>
    <w:p w14:paraId="3711B243" w14:textId="77777777" w:rsidR="007151B6" w:rsidRDefault="007151B6" w:rsidP="007151B6">
      <w:r>
        <w:t xml:space="preserve">Die Senkung der Raumtemperatur bzw. die Limitierung der Kühlung sind einfache und ohne notwendige Investitionen umsetzbarbare Maßnahmen und insbesondere in der aktuellen Energiekrise als temporäre Schritte vorgesehen. </w:t>
      </w:r>
    </w:p>
    <w:p w14:paraId="3CF08DCE" w14:textId="77777777" w:rsidR="007151B6" w:rsidRDefault="007151B6" w:rsidP="007151B6"/>
    <w:p w14:paraId="737CED07" w14:textId="77777777" w:rsidR="007151B6" w:rsidRDefault="007151B6" w:rsidP="007151B6">
      <w:pPr>
        <w:rPr>
          <w:b/>
          <w:bCs/>
        </w:rPr>
      </w:pPr>
      <w:r>
        <w:rPr>
          <w:b/>
          <w:bCs/>
        </w:rPr>
        <w:t>Beschluss</w:t>
      </w:r>
    </w:p>
    <w:p w14:paraId="1A9E138A" w14:textId="77777777" w:rsidR="007151B6" w:rsidRDefault="007151B6" w:rsidP="007151B6">
      <w:r>
        <w:rPr>
          <w:rFonts w:ascii="Calibri" w:eastAsia="Calibri" w:hAnsi="Calibri" w:cs="Calibri"/>
          <w:color w:val="000000"/>
        </w:rPr>
        <w:t xml:space="preserve">Der Gemeinderat </w:t>
      </w:r>
      <w:r>
        <w:t xml:space="preserve">beschließt, das Heizen in gemeindeeigenen Gebäuden in den Monaten von x bis x abhängig von Raumtyp und Nutzungsart entsprechend der untenstehenden Tabelle anzupassen. Zudem wird in den Monaten von x bis x nicht unter 25 Grad gekühlt. </w:t>
      </w:r>
    </w:p>
    <w:p w14:paraId="3D60617C" w14:textId="77777777" w:rsidR="007151B6" w:rsidRDefault="007151B6" w:rsidP="007151B6">
      <w:r>
        <w:t>Maximalwerte für Innenräume:</w:t>
      </w:r>
    </w:p>
    <w:p w14:paraId="3588AF69" w14:textId="77777777" w:rsidR="007151B6" w:rsidRDefault="007151B6" w:rsidP="007151B6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20 Grad in Büroräumen, Arbeitszimmern, Unterrichtsräumen etc.</w:t>
      </w:r>
    </w:p>
    <w:p w14:paraId="57BE0F0F" w14:textId="77777777" w:rsidR="007151B6" w:rsidRDefault="007151B6" w:rsidP="007151B6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21 (bis max. 23) Grad in Gruppenräumen von Kindergärten</w:t>
      </w:r>
    </w:p>
    <w:p w14:paraId="315489F7" w14:textId="77777777" w:rsidR="007151B6" w:rsidRDefault="007151B6" w:rsidP="007151B6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19 Grad in Räumen, wo sich die </w:t>
      </w:r>
      <w:proofErr w:type="spellStart"/>
      <w:proofErr w:type="gramStart"/>
      <w:r>
        <w:rPr>
          <w:rFonts w:eastAsia="Times New Roman"/>
        </w:rPr>
        <w:t>Nutzer:innen</w:t>
      </w:r>
      <w:proofErr w:type="spellEnd"/>
      <w:proofErr w:type="gramEnd"/>
      <w:r>
        <w:rPr>
          <w:rFonts w:eastAsia="Times New Roman"/>
        </w:rPr>
        <w:t xml:space="preserve"> bewegen; z.B. Museen</w:t>
      </w:r>
    </w:p>
    <w:p w14:paraId="133DA891" w14:textId="77777777" w:rsidR="007151B6" w:rsidRDefault="007151B6" w:rsidP="007151B6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17 Grad in Turnhallen und Sporträumen mit Bewegungssport</w:t>
      </w:r>
    </w:p>
    <w:p w14:paraId="3F78825D" w14:textId="77777777" w:rsidR="007151B6" w:rsidRDefault="007151B6" w:rsidP="007151B6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15 Grad in Nebenräumen wie z.B. Garderoben</w:t>
      </w:r>
    </w:p>
    <w:p w14:paraId="0D2E12C3" w14:textId="77777777" w:rsidR="007151B6" w:rsidRDefault="007151B6" w:rsidP="007151B6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21 Grad in Umkleideräumen gem. § 35 Abs (7)2|4 Arbeitsstättenverordnung (ASIV)</w:t>
      </w:r>
    </w:p>
    <w:p w14:paraId="3B9288AC" w14:textId="77777777" w:rsidR="007151B6" w:rsidRDefault="007151B6" w:rsidP="007151B6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12 bis 18 Grad in Werkstätten, abhängig von der jeweiligen Nutzungsart</w:t>
      </w:r>
    </w:p>
    <w:p w14:paraId="7F921369" w14:textId="77777777" w:rsidR="007151B6" w:rsidRDefault="007151B6" w:rsidP="007151B6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12 Grad in Treppenhäusern und Fluren</w:t>
      </w:r>
    </w:p>
    <w:p w14:paraId="21FF96B0" w14:textId="77777777" w:rsidR="007151B6" w:rsidRDefault="007151B6" w:rsidP="007151B6">
      <w:pPr>
        <w:pStyle w:val="Listenabsatz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Antifrosttemperierung in Fahrzeuggaragen</w:t>
      </w:r>
    </w:p>
    <w:p w14:paraId="65449502" w14:textId="77777777" w:rsidR="007151B6" w:rsidRPr="00BB241C" w:rsidRDefault="007151B6" w:rsidP="007151B6">
      <w:pPr>
        <w:pStyle w:val="Listenabsatz"/>
        <w:spacing w:after="0" w:line="240" w:lineRule="auto"/>
        <w:contextualSpacing w:val="0"/>
        <w:rPr>
          <w:rFonts w:eastAsia="Times New Roman"/>
        </w:rPr>
      </w:pPr>
    </w:p>
    <w:p w14:paraId="13155AFA" w14:textId="77777777" w:rsidR="007151B6" w:rsidRDefault="007151B6" w:rsidP="007151B6">
      <w:r>
        <w:t xml:space="preserve">Dies beinhaltet auch eine Schulung der </w:t>
      </w:r>
      <w:proofErr w:type="spellStart"/>
      <w:proofErr w:type="gramStart"/>
      <w:r>
        <w:t>Gebäudenutzer:innen</w:t>
      </w:r>
      <w:proofErr w:type="spellEnd"/>
      <w:proofErr w:type="gramEnd"/>
      <w:r>
        <w:t xml:space="preserve">. </w:t>
      </w:r>
    </w:p>
    <w:p w14:paraId="354FD5DA" w14:textId="77777777" w:rsidR="007151B6" w:rsidRDefault="007151B6" w:rsidP="007151B6">
      <w:r>
        <w:t>Die Maßnahme betrifft folgende Gebäude:</w:t>
      </w:r>
    </w:p>
    <w:p w14:paraId="52CBEC67" w14:textId="77777777" w:rsidR="007151B6" w:rsidRDefault="007151B6" w:rsidP="007151B6">
      <w:r>
        <w:t>x</w:t>
      </w:r>
    </w:p>
    <w:p w14:paraId="74390DF2" w14:textId="77777777" w:rsidR="007151B6" w:rsidRDefault="007151B6" w:rsidP="007151B6">
      <w:r>
        <w:t xml:space="preserve">Zusätzlich wird für alle Gebäude eine Regelung für Wochenenden und Ferien beschlossen.  </w:t>
      </w:r>
    </w:p>
    <w:p w14:paraId="4BD8F7A5" w14:textId="77777777" w:rsidR="007151B6" w:rsidRDefault="007151B6" w:rsidP="007151B6">
      <w:pPr>
        <w:rPr>
          <w:u w:val="single"/>
        </w:rPr>
      </w:pPr>
      <w:r>
        <w:rPr>
          <w:u w:val="single"/>
        </w:rPr>
        <w:t>Liste der Gebäude:</w:t>
      </w:r>
    </w:p>
    <w:p w14:paraId="5DA16329" w14:textId="77777777" w:rsidR="007151B6" w:rsidRDefault="007151B6" w:rsidP="007151B6">
      <w:r>
        <w:t>Gebäude x: Absenkung der Raumtemperatur von Freitag x bis Montag x um weitere x Grad.</w:t>
      </w:r>
    </w:p>
    <w:p w14:paraId="1365FD28" w14:textId="77777777" w:rsidR="007151B6" w:rsidRDefault="007151B6" w:rsidP="007151B6">
      <w:r>
        <w:t>Gebäude x:  ……</w:t>
      </w:r>
    </w:p>
    <w:p w14:paraId="4AAD922A" w14:textId="77777777" w:rsidR="007151B6" w:rsidRDefault="007151B6" w:rsidP="007151B6">
      <w:pPr>
        <w:rPr>
          <w:b/>
        </w:rPr>
      </w:pPr>
    </w:p>
    <w:p w14:paraId="7FCD3CA8" w14:textId="77777777" w:rsidR="007151B6" w:rsidRDefault="007151B6" w:rsidP="007151B6">
      <w:r>
        <w:rPr>
          <w:b/>
        </w:rPr>
        <w:t>Erläuterung</w:t>
      </w:r>
    </w:p>
    <w:p w14:paraId="7F9CEC58" w14:textId="77777777" w:rsidR="007151B6" w:rsidRDefault="007151B6" w:rsidP="007151B6">
      <w:pPr>
        <w:spacing w:line="276" w:lineRule="auto"/>
        <w:contextualSpacing/>
      </w:pPr>
      <w:r>
        <w:t xml:space="preserve">Im Vorfeld des Beschlusses ist eine Potenzialanalyse für sämtliche Gebäude empfohlen. </w:t>
      </w:r>
    </w:p>
    <w:p w14:paraId="4223DACA" w14:textId="77777777" w:rsidR="007151B6" w:rsidRDefault="007151B6" w:rsidP="007151B6">
      <w:pPr>
        <w:spacing w:line="276" w:lineRule="auto"/>
        <w:contextualSpacing/>
      </w:pPr>
      <w:r>
        <w:t xml:space="preserve">Regelungstechnik muss angepasst werden. </w:t>
      </w:r>
    </w:p>
    <w:p w14:paraId="748D43BB" w14:textId="77777777" w:rsidR="007151B6" w:rsidRDefault="007151B6" w:rsidP="007151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Calibri" w:eastAsia="Calibri" w:hAnsi="Calibri" w:cs="Calibri"/>
          <w:b/>
          <w:color w:val="000000"/>
        </w:rPr>
      </w:pPr>
    </w:p>
    <w:p w14:paraId="47F7DD1D" w14:textId="7B080B0D" w:rsidR="00840615" w:rsidRDefault="007151B6" w:rsidP="007151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Calibri" w:eastAsia="Calibri" w:hAnsi="Calibri" w:cs="Calibri"/>
          <w:b/>
          <w:color w:val="000000"/>
        </w:rPr>
        <w:t>Förderungen und Hilfestellung</w:t>
      </w:r>
    </w:p>
    <w:sectPr w:rsidR="0084061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43B6" w14:textId="77777777" w:rsidR="003C59DC" w:rsidRDefault="003C59DC" w:rsidP="004C753C">
      <w:pPr>
        <w:spacing w:after="0" w:line="240" w:lineRule="auto"/>
      </w:pPr>
      <w:r>
        <w:separator/>
      </w:r>
    </w:p>
  </w:endnote>
  <w:endnote w:type="continuationSeparator" w:id="0">
    <w:p w14:paraId="6AD4D59A" w14:textId="77777777" w:rsidR="003C59DC" w:rsidRDefault="003C59DC" w:rsidP="004C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A2EB" w14:textId="77777777" w:rsidR="003C59DC" w:rsidRDefault="003C59DC" w:rsidP="004C753C">
      <w:pPr>
        <w:spacing w:after="0" w:line="240" w:lineRule="auto"/>
      </w:pPr>
      <w:r>
        <w:separator/>
      </w:r>
    </w:p>
  </w:footnote>
  <w:footnote w:type="continuationSeparator" w:id="0">
    <w:p w14:paraId="6AF5DB5F" w14:textId="77777777" w:rsidR="003C59DC" w:rsidRDefault="003C59DC" w:rsidP="004C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3B37" w14:textId="77777777" w:rsidR="004C753C" w:rsidRDefault="004C753C" w:rsidP="004C753C">
    <w:pPr>
      <w:pStyle w:val="Kopfzeile"/>
      <w:jc w:val="center"/>
      <w:rPr>
        <w:b/>
        <w:bCs/>
        <w:sz w:val="32"/>
        <w:szCs w:val="32"/>
      </w:rPr>
    </w:pPr>
    <w:r>
      <w:rPr>
        <w:sz w:val="32"/>
        <w:szCs w:val="32"/>
      </w:rPr>
      <w:t>Gemeinderatsbeschlüsse im Bereich</w:t>
    </w:r>
    <w:r>
      <w:rPr>
        <w:b/>
        <w:bCs/>
        <w:sz w:val="32"/>
        <w:szCs w:val="32"/>
      </w:rPr>
      <w:t xml:space="preserve"> </w:t>
    </w:r>
  </w:p>
  <w:p w14:paraId="07536914" w14:textId="77777777" w:rsidR="004C753C" w:rsidRDefault="004C753C" w:rsidP="004C753C">
    <w:pPr>
      <w:pStyle w:val="Kopfzeile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Energieeffizienz und Energiesparen</w:t>
    </w:r>
  </w:p>
  <w:p w14:paraId="2E924E2B" w14:textId="77777777" w:rsidR="004C753C" w:rsidRPr="004C753C" w:rsidRDefault="004C753C" w:rsidP="004C75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D6A"/>
    <w:multiLevelType w:val="hybridMultilevel"/>
    <w:tmpl w:val="955EE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D0DF7"/>
    <w:multiLevelType w:val="hybridMultilevel"/>
    <w:tmpl w:val="0478B056"/>
    <w:lvl w:ilvl="0" w:tplc="A900F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D563B8"/>
    <w:multiLevelType w:val="hybridMultilevel"/>
    <w:tmpl w:val="B3B0EC52"/>
    <w:lvl w:ilvl="0" w:tplc="BF48E0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90AAB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7E649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65AED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C06BE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AA6F73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7B8FE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5B4304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3F4B2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6573966"/>
    <w:multiLevelType w:val="hybridMultilevel"/>
    <w:tmpl w:val="668A28E2"/>
    <w:lvl w:ilvl="0" w:tplc="A900F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F724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4D86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760CF1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0106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2877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E38043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BFA96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6E12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06060985">
    <w:abstractNumId w:val="0"/>
  </w:num>
  <w:num w:numId="2" w16cid:durableId="387458907">
    <w:abstractNumId w:val="3"/>
  </w:num>
  <w:num w:numId="3" w16cid:durableId="1841265035">
    <w:abstractNumId w:val="2"/>
  </w:num>
  <w:num w:numId="4" w16cid:durableId="130018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3C"/>
    <w:rsid w:val="0015791E"/>
    <w:rsid w:val="003C59DC"/>
    <w:rsid w:val="0041592F"/>
    <w:rsid w:val="00454CC2"/>
    <w:rsid w:val="004C753C"/>
    <w:rsid w:val="007151B6"/>
    <w:rsid w:val="00840615"/>
    <w:rsid w:val="00854E8A"/>
    <w:rsid w:val="009A6F0F"/>
    <w:rsid w:val="009F52B6"/>
    <w:rsid w:val="00A45A91"/>
    <w:rsid w:val="00B53B2F"/>
    <w:rsid w:val="00CA0095"/>
    <w:rsid w:val="00D1266A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D1F5"/>
  <w15:chartTrackingRefBased/>
  <w15:docId w15:val="{CA05FFAA-7DEE-4C10-B5F1-8BD1CBCD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51B6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753C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53C"/>
    <w:rPr>
      <w:rFonts w:asciiTheme="majorHAnsi" w:eastAsia="Arial" w:hAnsiTheme="majorHAnsi" w:cs="Arial"/>
      <w:b/>
      <w:sz w:val="40"/>
      <w:szCs w:val="40"/>
      <w:lang w:val="de-AT"/>
    </w:rPr>
  </w:style>
  <w:style w:type="character" w:styleId="Hyperlink">
    <w:name w:val="Hyperlink"/>
    <w:uiPriority w:val="99"/>
    <w:unhideWhenUsed/>
    <w:rsid w:val="004C753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53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C7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53C"/>
    <w:rPr>
      <w:lang w:val="de-AT"/>
    </w:rPr>
  </w:style>
  <w:style w:type="paragraph" w:styleId="Listenabsatz">
    <w:name w:val="List Paragraph"/>
    <w:basedOn w:val="Standard"/>
    <w:uiPriority w:val="34"/>
    <w:qFormat/>
    <w:rsid w:val="00D1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1392</Characters>
  <Application>Microsoft Office Word</Application>
  <DocSecurity>0</DocSecurity>
  <Lines>35</Lines>
  <Paragraphs>18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Sölkner</dc:creator>
  <cp:keywords/>
  <dc:description/>
  <cp:lastModifiedBy>Oliver Sölkner</cp:lastModifiedBy>
  <cp:revision>2</cp:revision>
  <dcterms:created xsi:type="dcterms:W3CDTF">2022-11-28T11:46:00Z</dcterms:created>
  <dcterms:modified xsi:type="dcterms:W3CDTF">2022-11-28T11:46:00Z</dcterms:modified>
</cp:coreProperties>
</file>