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E829" w14:textId="77777777" w:rsidR="00711A1E" w:rsidRDefault="00711A1E" w:rsidP="00711A1E">
      <w:pPr>
        <w:pStyle w:val="berschrift1"/>
      </w:pPr>
      <w:bookmarkStart w:id="0" w:name="_Hlk118455042"/>
      <w:r>
        <w:t>Reduktion der Treibhausgasemissionen</w:t>
      </w:r>
      <w:bookmarkEnd w:id="0"/>
    </w:p>
    <w:p w14:paraId="594E2D2F" w14:textId="77777777" w:rsidR="00711A1E" w:rsidRDefault="00711A1E" w:rsidP="00711A1E">
      <w:pPr>
        <w:rPr>
          <w:b/>
          <w:bCs/>
        </w:rPr>
      </w:pPr>
    </w:p>
    <w:p w14:paraId="27283812" w14:textId="77777777" w:rsidR="00711A1E" w:rsidRDefault="00711A1E" w:rsidP="00711A1E">
      <w:pPr>
        <w:rPr>
          <w:b/>
          <w:bCs/>
        </w:rPr>
      </w:pPr>
      <w:r>
        <w:rPr>
          <w:b/>
          <w:bCs/>
        </w:rPr>
        <w:t>Hintergrund</w:t>
      </w:r>
    </w:p>
    <w:p w14:paraId="4CFBD5C4" w14:textId="77777777" w:rsidR="00711A1E" w:rsidRDefault="00711A1E" w:rsidP="00711A1E">
      <w:r>
        <w:t xml:space="preserve">Die Reduktion der Treibhausgase ist das zentrale Element der kommunalen Klimaschutzpolitik. Eine Zielsetzung mit definierten Zwischenzielen ist dafür unerlässlich. Ebenso unerlässlich ist ein standardisiertes Monitoring der Emissionen. Die Maßnahmen zur Zielerreichung sind vielfältig und können u. a. in den weiteren Beschlussvorlagen eingesehen werden. </w:t>
      </w:r>
    </w:p>
    <w:p w14:paraId="7444A820" w14:textId="77777777" w:rsidR="00711A1E" w:rsidRDefault="00711A1E" w:rsidP="00711A1E">
      <w:pPr>
        <w:rPr>
          <w:b/>
          <w:bCs/>
        </w:rPr>
      </w:pPr>
    </w:p>
    <w:p w14:paraId="08F2D15C" w14:textId="77777777" w:rsidR="00711A1E" w:rsidRDefault="00711A1E" w:rsidP="00711A1E">
      <w:pPr>
        <w:rPr>
          <w:b/>
          <w:bCs/>
        </w:rPr>
      </w:pPr>
      <w:r>
        <w:rPr>
          <w:b/>
          <w:bCs/>
        </w:rPr>
        <w:t>Beschluss</w:t>
      </w:r>
    </w:p>
    <w:p w14:paraId="6656621A" w14:textId="77777777" w:rsidR="00711A1E" w:rsidRDefault="00711A1E" w:rsidP="00711A1E">
      <w:r w:rsidRPr="00071F53">
        <w:t>Der Gemeinderat beschließt</w:t>
      </w:r>
      <w:r>
        <w:t xml:space="preserve"> die</w:t>
      </w:r>
      <w:r w:rsidRPr="00071F53">
        <w:t xml:space="preserve"> </w:t>
      </w:r>
      <w:r>
        <w:t xml:space="preserve">Reduktion der Treibhausgasemissionen im gemeindeeigenen Bereich um x Prozent (im Vgl. zum Basis-Jahr </w:t>
      </w:r>
      <w:proofErr w:type="spellStart"/>
      <w:r>
        <w:t>xxxx</w:t>
      </w:r>
      <w:proofErr w:type="spellEnd"/>
      <w:r>
        <w:t xml:space="preserve">) bis zum Jahr </w:t>
      </w:r>
      <w:proofErr w:type="spellStart"/>
      <w:r>
        <w:t>xxxx</w:t>
      </w:r>
      <w:proofErr w:type="spellEnd"/>
      <w:r>
        <w:t>.</w:t>
      </w:r>
    </w:p>
    <w:p w14:paraId="1AFE7BAE" w14:textId="77777777" w:rsidR="00711A1E" w:rsidRDefault="00711A1E" w:rsidP="00711A1E">
      <w:r>
        <w:t>Die Zwischenziele werden wie folgt festgelegt:</w:t>
      </w:r>
    </w:p>
    <w:p w14:paraId="2FDB7BD5" w14:textId="77777777" w:rsidR="00711A1E" w:rsidRDefault="00711A1E" w:rsidP="00711A1E">
      <w:r>
        <w:t>X</w:t>
      </w:r>
    </w:p>
    <w:p w14:paraId="122A6802" w14:textId="77777777" w:rsidR="00711A1E" w:rsidRDefault="00711A1E" w:rsidP="00711A1E">
      <w:r>
        <w:t>X</w:t>
      </w:r>
    </w:p>
    <w:p w14:paraId="7FE4CF18" w14:textId="77777777" w:rsidR="00711A1E" w:rsidRDefault="00711A1E" w:rsidP="00711A1E">
      <w:r>
        <w:t>X</w:t>
      </w:r>
    </w:p>
    <w:p w14:paraId="07E9B8AB" w14:textId="77777777" w:rsidR="00711A1E" w:rsidRDefault="00711A1E" w:rsidP="00711A1E">
      <w:pPr>
        <w:rPr>
          <w:b/>
          <w:bCs/>
        </w:rPr>
      </w:pPr>
      <w:r>
        <w:rPr>
          <w:b/>
          <w:bCs/>
        </w:rPr>
        <w:t>Erläuterung</w:t>
      </w:r>
    </w:p>
    <w:p w14:paraId="2C5E2FCB" w14:textId="77777777" w:rsidR="00711A1E" w:rsidRDefault="00711A1E" w:rsidP="00711A1E">
      <w:pPr>
        <w:rPr>
          <w:bCs/>
        </w:rPr>
      </w:pPr>
      <w:r>
        <w:rPr>
          <w:bCs/>
        </w:rPr>
        <w:t xml:space="preserve">Ein entsprechendes Monitoring (z. B. als Ergänzung der Energiebuchhaltung) ist dafür Voraussetzung (siehe Beschluss dazu). </w:t>
      </w:r>
    </w:p>
    <w:p w14:paraId="345C5703" w14:textId="77777777" w:rsidR="00711A1E" w:rsidRDefault="00711A1E" w:rsidP="00711A1E">
      <w:pPr>
        <w:rPr>
          <w:bCs/>
        </w:rPr>
      </w:pPr>
    </w:p>
    <w:p w14:paraId="5582E6E1" w14:textId="77777777" w:rsidR="00711A1E" w:rsidRPr="00DC60BF" w:rsidRDefault="00711A1E" w:rsidP="00711A1E">
      <w:pPr>
        <w:rPr>
          <w:b/>
          <w:bCs/>
        </w:rPr>
      </w:pPr>
      <w:r w:rsidRPr="00DC60BF">
        <w:rPr>
          <w:b/>
          <w:bCs/>
        </w:rPr>
        <w:t>Förderungen und Hilfestellung</w:t>
      </w:r>
    </w:p>
    <w:p w14:paraId="44222F42" w14:textId="19E028F2" w:rsidR="00723915" w:rsidRDefault="00711A1E" w:rsidP="00711A1E">
      <w:r w:rsidRPr="007F55D3">
        <w:rPr>
          <w:bCs/>
        </w:rPr>
        <w:t xml:space="preserve">Viele Bundesländer unterstützen </w:t>
      </w:r>
      <w:r>
        <w:rPr>
          <w:bCs/>
        </w:rPr>
        <w:t>i</w:t>
      </w:r>
      <w:r w:rsidRPr="007F55D3">
        <w:rPr>
          <w:bCs/>
        </w:rPr>
        <w:t>hre Gemeinden mit Energiebuchhaltungssystemen. Ein fertiges</w:t>
      </w:r>
      <w:r>
        <w:t xml:space="preserve"> Tool zur Berechnung der Treibhausgase ist aktuell nicht bekannt.</w:t>
      </w:r>
    </w:p>
    <w:sectPr w:rsidR="0072391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E21A" w14:textId="77777777" w:rsidR="00857D90" w:rsidRDefault="00857D90" w:rsidP="00BB275E">
      <w:pPr>
        <w:spacing w:after="0" w:line="240" w:lineRule="auto"/>
      </w:pPr>
      <w:r>
        <w:separator/>
      </w:r>
    </w:p>
  </w:endnote>
  <w:endnote w:type="continuationSeparator" w:id="0">
    <w:p w14:paraId="568887E1" w14:textId="77777777" w:rsidR="00857D90" w:rsidRDefault="00857D90" w:rsidP="00BB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F1BF" w14:textId="77777777" w:rsidR="00857D90" w:rsidRDefault="00857D90" w:rsidP="00BB275E">
      <w:pPr>
        <w:spacing w:after="0" w:line="240" w:lineRule="auto"/>
      </w:pPr>
      <w:r>
        <w:separator/>
      </w:r>
    </w:p>
  </w:footnote>
  <w:footnote w:type="continuationSeparator" w:id="0">
    <w:p w14:paraId="52C344EB" w14:textId="77777777" w:rsidR="00857D90" w:rsidRDefault="00857D90" w:rsidP="00BB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EED" w14:textId="77777777" w:rsidR="00BB275E" w:rsidRDefault="00BB275E" w:rsidP="00BB275E">
    <w:pPr>
      <w:pStyle w:val="Kopfzeile"/>
      <w:jc w:val="center"/>
      <w:rPr>
        <w:b/>
        <w:bCs/>
        <w:sz w:val="32"/>
        <w:szCs w:val="32"/>
      </w:rPr>
    </w:pPr>
    <w:r>
      <w:rPr>
        <w:sz w:val="32"/>
        <w:szCs w:val="32"/>
      </w:rPr>
      <w:t>Gemeinderatsbeschlüsse im Bereich</w:t>
    </w:r>
    <w:r>
      <w:rPr>
        <w:b/>
        <w:bCs/>
        <w:sz w:val="32"/>
        <w:szCs w:val="32"/>
      </w:rPr>
      <w:t xml:space="preserve"> </w:t>
    </w:r>
  </w:p>
  <w:p w14:paraId="5F2B73B4" w14:textId="77777777" w:rsidR="00BB275E" w:rsidRDefault="00BB275E" w:rsidP="00BB275E">
    <w:pPr>
      <w:pStyle w:val="Kopfzeile"/>
      <w:jc w:val="center"/>
      <w:rPr>
        <w:b/>
        <w:bCs/>
        <w:sz w:val="32"/>
        <w:szCs w:val="32"/>
      </w:rPr>
    </w:pPr>
    <w:r>
      <w:rPr>
        <w:b/>
        <w:bCs/>
        <w:sz w:val="32"/>
        <w:szCs w:val="32"/>
      </w:rPr>
      <w:t>Allgemeines</w:t>
    </w:r>
  </w:p>
  <w:p w14:paraId="7219DEE0" w14:textId="77777777" w:rsidR="00BB275E" w:rsidRPr="00BB275E" w:rsidRDefault="00BB275E" w:rsidP="00BB27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91F8E"/>
    <w:multiLevelType w:val="hybridMultilevel"/>
    <w:tmpl w:val="98E64812"/>
    <w:lvl w:ilvl="0" w:tplc="4CD28F20">
      <w:start w:val="1"/>
      <w:numFmt w:val="decimal"/>
      <w:lvlText w:val="%1."/>
      <w:lvlJc w:val="left"/>
      <w:pPr>
        <w:ind w:left="360" w:hanging="360"/>
      </w:pPr>
      <w:rPr>
        <w:rFonts w:hint="default"/>
      </w:rPr>
    </w:lvl>
    <w:lvl w:ilvl="1" w:tplc="5C440A92">
      <w:start w:val="1"/>
      <w:numFmt w:val="lowerLetter"/>
      <w:lvlText w:val="%2."/>
      <w:lvlJc w:val="left"/>
      <w:pPr>
        <w:ind w:left="1440" w:hanging="360"/>
      </w:pPr>
    </w:lvl>
    <w:lvl w:ilvl="2" w:tplc="C2249BDE">
      <w:start w:val="1"/>
      <w:numFmt w:val="lowerRoman"/>
      <w:lvlText w:val="%3."/>
      <w:lvlJc w:val="right"/>
      <w:pPr>
        <w:ind w:left="2160" w:hanging="180"/>
      </w:pPr>
    </w:lvl>
    <w:lvl w:ilvl="3" w:tplc="3230ACB6">
      <w:start w:val="1"/>
      <w:numFmt w:val="decimal"/>
      <w:lvlText w:val="%4."/>
      <w:lvlJc w:val="left"/>
      <w:pPr>
        <w:ind w:left="2880" w:hanging="360"/>
      </w:pPr>
    </w:lvl>
    <w:lvl w:ilvl="4" w:tplc="3362816E">
      <w:start w:val="1"/>
      <w:numFmt w:val="lowerLetter"/>
      <w:lvlText w:val="%5."/>
      <w:lvlJc w:val="left"/>
      <w:pPr>
        <w:ind w:left="3600" w:hanging="360"/>
      </w:pPr>
    </w:lvl>
    <w:lvl w:ilvl="5" w:tplc="CD20BFDA">
      <w:start w:val="1"/>
      <w:numFmt w:val="lowerRoman"/>
      <w:lvlText w:val="%6."/>
      <w:lvlJc w:val="right"/>
      <w:pPr>
        <w:ind w:left="4320" w:hanging="180"/>
      </w:pPr>
    </w:lvl>
    <w:lvl w:ilvl="6" w:tplc="9AAC6682">
      <w:start w:val="1"/>
      <w:numFmt w:val="decimal"/>
      <w:lvlText w:val="%7."/>
      <w:lvlJc w:val="left"/>
      <w:pPr>
        <w:ind w:left="5040" w:hanging="360"/>
      </w:pPr>
    </w:lvl>
    <w:lvl w:ilvl="7" w:tplc="E0C4485A">
      <w:start w:val="1"/>
      <w:numFmt w:val="lowerLetter"/>
      <w:lvlText w:val="%8."/>
      <w:lvlJc w:val="left"/>
      <w:pPr>
        <w:ind w:left="5760" w:hanging="360"/>
      </w:pPr>
    </w:lvl>
    <w:lvl w:ilvl="8" w:tplc="F662C338">
      <w:start w:val="1"/>
      <w:numFmt w:val="lowerRoman"/>
      <w:lvlText w:val="%9."/>
      <w:lvlJc w:val="right"/>
      <w:pPr>
        <w:ind w:left="6480" w:hanging="180"/>
      </w:pPr>
    </w:lvl>
  </w:abstractNum>
  <w:num w:numId="1" w16cid:durableId="210383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5E"/>
    <w:rsid w:val="0015791E"/>
    <w:rsid w:val="00354D83"/>
    <w:rsid w:val="00374147"/>
    <w:rsid w:val="00711A1E"/>
    <w:rsid w:val="00723915"/>
    <w:rsid w:val="00857D90"/>
    <w:rsid w:val="009A6F0F"/>
    <w:rsid w:val="00BB275E"/>
    <w:rsid w:val="00BF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D4B5"/>
  <w15:chartTrackingRefBased/>
  <w15:docId w15:val="{CE78A94B-DEC5-4A7B-846B-F6172EE1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1A1E"/>
    <w:rPr>
      <w:lang w:val="de-AT"/>
    </w:rPr>
  </w:style>
  <w:style w:type="paragraph" w:styleId="berschrift1">
    <w:name w:val="heading 1"/>
    <w:basedOn w:val="Standard"/>
    <w:next w:val="Standard"/>
    <w:link w:val="berschrift1Zchn"/>
    <w:uiPriority w:val="9"/>
    <w:qFormat/>
    <w:rsid w:val="00BB275E"/>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75E"/>
    <w:rPr>
      <w:rFonts w:asciiTheme="majorHAnsi" w:eastAsia="Arial" w:hAnsiTheme="majorHAnsi" w:cs="Arial"/>
      <w:b/>
      <w:sz w:val="40"/>
      <w:szCs w:val="40"/>
      <w:lang w:val="de-AT"/>
    </w:rPr>
  </w:style>
  <w:style w:type="paragraph" w:styleId="Kopfzeile">
    <w:name w:val="header"/>
    <w:basedOn w:val="Standard"/>
    <w:link w:val="KopfzeileZchn"/>
    <w:uiPriority w:val="99"/>
    <w:unhideWhenUsed/>
    <w:rsid w:val="00BB2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75E"/>
    <w:rPr>
      <w:lang w:val="de-AT"/>
    </w:rPr>
  </w:style>
  <w:style w:type="paragraph" w:styleId="Fuzeile">
    <w:name w:val="footer"/>
    <w:basedOn w:val="Standard"/>
    <w:link w:val="FuzeileZchn"/>
    <w:uiPriority w:val="99"/>
    <w:unhideWhenUsed/>
    <w:rsid w:val="00BB27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75E"/>
    <w:rPr>
      <w:lang w:val="de-AT"/>
    </w:rPr>
  </w:style>
  <w:style w:type="character" w:styleId="Hyperlink">
    <w:name w:val="Hyperlink"/>
    <w:uiPriority w:val="99"/>
    <w:unhideWhenUsed/>
    <w:rsid w:val="00354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846</Characters>
  <Application>Microsoft Office Word</Application>
  <DocSecurity>0</DocSecurity>
  <Lines>24</Lines>
  <Paragraphs>13</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2022-11-28T11:24:00Z</dcterms:created>
  <dcterms:modified xsi:type="dcterms:W3CDTF">2022-11-28T11:24:00Z</dcterms:modified>
</cp:coreProperties>
</file>