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12B6E" w14:textId="77777777" w:rsidR="003F7BEE" w:rsidRDefault="003F7BEE" w:rsidP="003F7BEE">
      <w:pPr>
        <w:pStyle w:val="berschrift1"/>
        <w:spacing w:before="0"/>
      </w:pPr>
      <w:r>
        <w:t>Potenziale von bestehenden Gebäuden und Flächen nutzen</w:t>
      </w:r>
    </w:p>
    <w:p w14:paraId="1EBBE66B" w14:textId="77777777" w:rsidR="003F7BEE" w:rsidRDefault="003F7BEE" w:rsidP="003F7BEE">
      <w:pPr>
        <w:rPr>
          <w:b/>
          <w:bCs/>
        </w:rPr>
      </w:pPr>
    </w:p>
    <w:p w14:paraId="298346FA" w14:textId="77777777" w:rsidR="003F7BEE" w:rsidRDefault="003F7BEE" w:rsidP="003F7BEE">
      <w:pPr>
        <w:rPr>
          <w:b/>
        </w:rPr>
      </w:pPr>
      <w:r>
        <w:rPr>
          <w:b/>
          <w:bCs/>
        </w:rPr>
        <w:t xml:space="preserve">Hintergrund </w:t>
      </w:r>
    </w:p>
    <w:p w14:paraId="2C46AFD3" w14:textId="47E72700" w:rsidR="003F7BEE" w:rsidRDefault="003F7BEE" w:rsidP="003F7BEE">
      <w:pPr>
        <w:rPr>
          <w:bCs/>
        </w:rPr>
      </w:pPr>
      <w:r>
        <w:rPr>
          <w:bCs/>
        </w:rPr>
        <w:t>Negative Auswirkungen wie Zersiedelung und „Neubau vor Innenentwicklung“ einer vernachlässigten Raumplanung stellen in Österreich eine besondere Problematik dar. Sie führen neben einer Degradierung des Landschaftsbildes zu hohen Infrastrukturkosten, schlechter Anbindung an den öffentlichen Verkehr sowie hohem Energie- und Ressourcenverbrauch. Unter dem Motto „Innenentwicklung vor Grüner Wiese“ können einige genannte negative Entwicklungen wesentlich verbessert werden.</w:t>
      </w:r>
    </w:p>
    <w:p w14:paraId="2ED404AD" w14:textId="77777777" w:rsidR="003F7BEE" w:rsidRDefault="003F7BEE" w:rsidP="003F7BEE">
      <w:pPr>
        <w:rPr>
          <w:b/>
          <w:bCs/>
        </w:rPr>
      </w:pPr>
    </w:p>
    <w:p w14:paraId="16C41E37" w14:textId="77777777" w:rsidR="003F7BEE" w:rsidRDefault="003F7BEE" w:rsidP="003F7BEE">
      <w:pPr>
        <w:rPr>
          <w:b/>
          <w:bCs/>
        </w:rPr>
      </w:pPr>
      <w:r>
        <w:rPr>
          <w:b/>
          <w:bCs/>
        </w:rPr>
        <w:t>Beschluss</w:t>
      </w:r>
    </w:p>
    <w:p w14:paraId="7CC7F4C0" w14:textId="77777777" w:rsidR="003F7BEE" w:rsidRDefault="003F7BEE" w:rsidP="003F7BEE">
      <w:r>
        <w:rPr>
          <w:rFonts w:ascii="Calibri" w:eastAsia="Calibri" w:hAnsi="Calibri" w:cs="Calibri"/>
          <w:color w:val="000000"/>
        </w:rPr>
        <w:t xml:space="preserve">Der Gemeinderat </w:t>
      </w:r>
      <w:r>
        <w:rPr>
          <w:bCs/>
        </w:rPr>
        <w:t xml:space="preserve">beschließt, </w:t>
      </w:r>
      <w:r>
        <w:t>vor der Errichtung von Gemeindeneubauten das Nutzungspotenzial bestehender Gebäude und Flächen (Innenentwicklung) für die benötigten Flächen zu prüfen.</w:t>
      </w:r>
    </w:p>
    <w:p w14:paraId="1E05629D" w14:textId="77777777" w:rsidR="003F7BEE" w:rsidRDefault="003F7BEE" w:rsidP="003F7BEE">
      <w:pPr>
        <w:rPr>
          <w:b/>
          <w:bCs/>
        </w:rPr>
      </w:pPr>
    </w:p>
    <w:p w14:paraId="4FA4D410" w14:textId="77777777" w:rsidR="003F7BEE" w:rsidRDefault="003F7BEE" w:rsidP="003F7BEE">
      <w:pPr>
        <w:rPr>
          <w:b/>
          <w:bCs/>
        </w:rPr>
      </w:pPr>
      <w:r>
        <w:rPr>
          <w:b/>
          <w:bCs/>
        </w:rPr>
        <w:t>Erläuterung</w:t>
      </w:r>
    </w:p>
    <w:p w14:paraId="0168380B" w14:textId="77777777" w:rsidR="003F7BEE" w:rsidRDefault="003F7BEE" w:rsidP="003F7BEE">
      <w:pPr>
        <w:rPr>
          <w:b/>
          <w:bCs/>
        </w:rPr>
      </w:pPr>
      <w:r>
        <w:rPr>
          <w:rFonts w:ascii="Calibri" w:eastAsia="Calibri" w:hAnsi="Calibri" w:cs="Calibri"/>
        </w:rPr>
        <w:t xml:space="preserve">Innenverdichtung: Nutzen freistehender Flächen und die Erhöhung der </w:t>
      </w:r>
      <w:hyperlink r:id="rId7" w:tooltip="Kubatur" w:history="1">
        <w:r>
          <w:rPr>
            <w:rFonts w:ascii="Calibri" w:eastAsia="Calibri" w:hAnsi="Calibri" w:cs="Calibri"/>
          </w:rPr>
          <w:t>Kubatur</w:t>
        </w:r>
      </w:hyperlink>
      <w:r>
        <w:rPr>
          <w:rFonts w:ascii="Calibri" w:eastAsia="Calibri" w:hAnsi="Calibri" w:cs="Calibri"/>
        </w:rPr>
        <w:t xml:space="preserve"> innerhalb bereits bestehender </w:t>
      </w:r>
      <w:hyperlink r:id="rId8" w:tooltip="Bauland" w:history="1">
        <w:r>
          <w:rPr>
            <w:rFonts w:ascii="Calibri" w:eastAsia="Calibri" w:hAnsi="Calibri" w:cs="Calibri"/>
          </w:rPr>
          <w:t>Bebauung</w:t>
        </w:r>
      </w:hyperlink>
      <w:r>
        <w:rPr>
          <w:rFonts w:ascii="Calibri" w:eastAsia="Calibri" w:hAnsi="Calibri" w:cs="Calibri"/>
        </w:rPr>
        <w:t xml:space="preserve">. Dadurch wird der Wohn- oder Nutzraum je verbauter Fläche höher, was </w:t>
      </w:r>
      <w:r w:rsidRPr="005B5A71">
        <w:t xml:space="preserve">einer </w:t>
      </w:r>
      <w:hyperlink r:id="rId9" w:tooltip="Zersiedelung" w:history="1">
        <w:r w:rsidRPr="005B5A71">
          <w:t>Zersiedelung</w:t>
        </w:r>
      </w:hyperlink>
      <w:r w:rsidRPr="005B5A71">
        <w:t xml:space="preserve"> entgegenwirkt.</w:t>
      </w:r>
    </w:p>
    <w:p w14:paraId="163AA363" w14:textId="77777777" w:rsidR="003F7BEE" w:rsidRPr="00FD487E" w:rsidRDefault="003F7BEE" w:rsidP="003F7BEE">
      <w:pPr>
        <w:rPr>
          <w:b/>
          <w:bCs/>
        </w:rPr>
      </w:pPr>
    </w:p>
    <w:p w14:paraId="629AD8F1" w14:textId="77777777" w:rsidR="003F7BEE" w:rsidRPr="005B5A71" w:rsidRDefault="003F7BEE" w:rsidP="003F7BEE">
      <w:pPr>
        <w:rPr>
          <w:b/>
          <w:bCs/>
        </w:rPr>
      </w:pPr>
      <w:r w:rsidRPr="005B5A71">
        <w:rPr>
          <w:b/>
          <w:bCs/>
        </w:rPr>
        <w:t>Förderungen und Hilfestellung</w:t>
      </w:r>
    </w:p>
    <w:p w14:paraId="698181EF" w14:textId="77777777" w:rsidR="003F7BEE" w:rsidRDefault="003F7BEE" w:rsidP="003F7BEE">
      <w:pPr>
        <w:pBdr>
          <w:top w:val="none" w:sz="4" w:space="0" w:color="000000"/>
          <w:left w:val="none" w:sz="4" w:space="0" w:color="000000"/>
          <w:bottom w:val="none" w:sz="4" w:space="0" w:color="000000"/>
          <w:right w:val="none" w:sz="4" w:space="0" w:color="000000"/>
        </w:pBdr>
        <w:spacing w:after="0"/>
        <w:rPr>
          <w:rFonts w:ascii="Calibri" w:eastAsia="Calibri" w:hAnsi="Calibri" w:cs="Calibri"/>
        </w:rPr>
      </w:pPr>
      <w:r w:rsidRPr="00752353">
        <w:rPr>
          <w:rFonts w:ascii="Calibri" w:eastAsia="Calibri" w:hAnsi="Calibri" w:cs="Calibri"/>
        </w:rPr>
        <w:t xml:space="preserve">Leitfaden Land Vorarlberg, Schriftenreihe 32 | Innenentwicklung und bauliche Verdichtung </w:t>
      </w:r>
      <w:r>
        <w:rPr>
          <w:rFonts w:ascii="Calibri" w:eastAsia="Calibri" w:hAnsi="Calibri" w:cs="Calibri"/>
        </w:rPr>
        <w:t>–</w:t>
      </w:r>
      <w:r w:rsidRPr="00752353">
        <w:rPr>
          <w:rFonts w:ascii="Calibri" w:eastAsia="Calibri" w:hAnsi="Calibri" w:cs="Calibri"/>
        </w:rPr>
        <w:t xml:space="preserve"> Beiträge zur Planungsstrategien</w:t>
      </w:r>
      <w:r>
        <w:rPr>
          <w:rFonts w:ascii="Calibri" w:eastAsia="Calibri" w:hAnsi="Calibri" w:cs="Calibri"/>
        </w:rPr>
        <w:t>:</w:t>
      </w:r>
    </w:p>
    <w:p w14:paraId="28629108" w14:textId="77777777" w:rsidR="003F7BEE" w:rsidRDefault="00000000" w:rsidP="003F7BEE">
      <w:hyperlink r:id="rId10" w:history="1">
        <w:r w:rsidR="003F7BEE" w:rsidRPr="005B5A71">
          <w:rPr>
            <w:rStyle w:val="Hyperlink"/>
          </w:rPr>
          <w:t>https://vorarlberg.at/documents/302033/472281/Schriftenreihe+32+Innenentwicklung+und+bauliche+Verdichtung_2018.pdf/cb86c5c8-12ff-fe64-57ee-99c50a291f33</w:t>
        </w:r>
      </w:hyperlink>
    </w:p>
    <w:p w14:paraId="3BB2FA07" w14:textId="77777777" w:rsidR="004B6882" w:rsidRDefault="004B6882"/>
    <w:sectPr w:rsidR="004B6882">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E188B" w14:textId="77777777" w:rsidR="00C41420" w:rsidRDefault="00C41420" w:rsidP="003F7BEE">
      <w:pPr>
        <w:spacing w:after="0" w:line="240" w:lineRule="auto"/>
      </w:pPr>
      <w:r>
        <w:separator/>
      </w:r>
    </w:p>
  </w:endnote>
  <w:endnote w:type="continuationSeparator" w:id="0">
    <w:p w14:paraId="32E92ECC" w14:textId="77777777" w:rsidR="00C41420" w:rsidRDefault="00C41420" w:rsidP="003F7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A8B4" w14:textId="77777777" w:rsidR="00C41420" w:rsidRDefault="00C41420" w:rsidP="003F7BEE">
      <w:pPr>
        <w:spacing w:after="0" w:line="240" w:lineRule="auto"/>
      </w:pPr>
      <w:r>
        <w:separator/>
      </w:r>
    </w:p>
  </w:footnote>
  <w:footnote w:type="continuationSeparator" w:id="0">
    <w:p w14:paraId="76970E9B" w14:textId="77777777" w:rsidR="00C41420" w:rsidRDefault="00C41420" w:rsidP="003F7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3646" w14:textId="77777777" w:rsidR="003F7BEE" w:rsidRDefault="003F7BEE" w:rsidP="003F7BEE">
    <w:pPr>
      <w:pStyle w:val="Kopfzeile"/>
      <w:jc w:val="center"/>
      <w:rPr>
        <w:b/>
        <w:bCs/>
        <w:sz w:val="32"/>
        <w:szCs w:val="32"/>
      </w:rPr>
    </w:pPr>
    <w:r>
      <w:rPr>
        <w:sz w:val="32"/>
        <w:szCs w:val="32"/>
      </w:rPr>
      <w:t>Gemeinderatsbeschlüsse im Bereich</w:t>
    </w:r>
    <w:r>
      <w:rPr>
        <w:b/>
        <w:bCs/>
        <w:sz w:val="32"/>
        <w:szCs w:val="32"/>
      </w:rPr>
      <w:t xml:space="preserve"> </w:t>
    </w:r>
  </w:p>
  <w:p w14:paraId="0839D6ED" w14:textId="112B728A" w:rsidR="003F7BEE" w:rsidRDefault="00244792" w:rsidP="003F7BEE">
    <w:pPr>
      <w:pStyle w:val="Kopfzeile"/>
      <w:jc w:val="center"/>
      <w:rPr>
        <w:b/>
        <w:bCs/>
        <w:sz w:val="32"/>
        <w:szCs w:val="32"/>
      </w:rPr>
    </w:pPr>
    <w:r>
      <w:rPr>
        <w:b/>
        <w:bCs/>
        <w:sz w:val="32"/>
        <w:szCs w:val="32"/>
      </w:rPr>
      <w:t>Siedlungsentwicklung</w:t>
    </w:r>
  </w:p>
  <w:p w14:paraId="1C11A17C" w14:textId="77777777" w:rsidR="003F7BEE" w:rsidRPr="003F7BEE" w:rsidRDefault="003F7BEE" w:rsidP="003F7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EB6"/>
    <w:multiLevelType w:val="hybridMultilevel"/>
    <w:tmpl w:val="035E699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1751198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EE"/>
    <w:rsid w:val="0015791E"/>
    <w:rsid w:val="00210839"/>
    <w:rsid w:val="00244792"/>
    <w:rsid w:val="003F7BEE"/>
    <w:rsid w:val="004B6882"/>
    <w:rsid w:val="009A6F0F"/>
    <w:rsid w:val="00C41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0657"/>
  <w15:chartTrackingRefBased/>
  <w15:docId w15:val="{90D4F519-B802-4438-8C7C-6BACB104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7BEE"/>
    <w:rPr>
      <w:lang w:val="de-AT"/>
    </w:rPr>
  </w:style>
  <w:style w:type="paragraph" w:styleId="berschrift1">
    <w:name w:val="heading 1"/>
    <w:basedOn w:val="Standard"/>
    <w:next w:val="Standard"/>
    <w:link w:val="berschrift1Zchn"/>
    <w:uiPriority w:val="9"/>
    <w:qFormat/>
    <w:rsid w:val="003F7BEE"/>
    <w:pPr>
      <w:keepNext/>
      <w:keepLines/>
      <w:spacing w:before="480" w:after="200"/>
      <w:outlineLvl w:val="0"/>
    </w:pPr>
    <w:rPr>
      <w:rFonts w:asciiTheme="majorHAnsi" w:eastAsia="Arial" w:hAnsiTheme="majorHAnsi" w:cs="Arial"/>
      <w:b/>
      <w:sz w:val="40"/>
      <w:szCs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F7BEE"/>
    <w:rPr>
      <w:rFonts w:asciiTheme="majorHAnsi" w:eastAsia="Arial" w:hAnsiTheme="majorHAnsi" w:cs="Arial"/>
      <w:b/>
      <w:sz w:val="40"/>
      <w:szCs w:val="40"/>
      <w:lang w:val="de-AT"/>
    </w:rPr>
  </w:style>
  <w:style w:type="character" w:styleId="Hyperlink">
    <w:name w:val="Hyperlink"/>
    <w:uiPriority w:val="99"/>
    <w:unhideWhenUsed/>
    <w:rsid w:val="003F7BEE"/>
    <w:rPr>
      <w:color w:val="0563C1" w:themeColor="hyperlink"/>
      <w:u w:val="single"/>
    </w:rPr>
  </w:style>
  <w:style w:type="paragraph" w:styleId="Kopfzeile">
    <w:name w:val="header"/>
    <w:basedOn w:val="Standard"/>
    <w:link w:val="KopfzeileZchn"/>
    <w:uiPriority w:val="99"/>
    <w:unhideWhenUsed/>
    <w:rsid w:val="003F7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7BEE"/>
    <w:rPr>
      <w:lang w:val="de-AT"/>
    </w:rPr>
  </w:style>
  <w:style w:type="paragraph" w:styleId="Fuzeile">
    <w:name w:val="footer"/>
    <w:basedOn w:val="Standard"/>
    <w:link w:val="FuzeileZchn"/>
    <w:uiPriority w:val="99"/>
    <w:unhideWhenUsed/>
    <w:rsid w:val="003F7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7BEE"/>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Bau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e.wikipedia.org/wiki/Kubatu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orarlberg.at/documents/302033/472281/Schriftenreihe+32+Innenentwicklung+und+bauliche+Verdichtung_2018.pdf/cb86c5c8-12ff-fe64-57ee-99c50a291f33" TargetMode="External"/><Relationship Id="rId4" Type="http://schemas.openxmlformats.org/officeDocument/2006/relationships/webSettings" Target="webSettings.xml"/><Relationship Id="rId9" Type="http://schemas.openxmlformats.org/officeDocument/2006/relationships/hyperlink" Target="https://de.wikipedia.org/wiki/Zersiedel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1422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Sölkner</dc:creator>
  <cp:keywords/>
  <dc:description/>
  <cp:lastModifiedBy>Oliver Sölkner</cp:lastModifiedBy>
  <cp:revision>2</cp:revision>
  <dcterms:created xsi:type="dcterms:W3CDTF">2022-11-28T12:31:00Z</dcterms:created>
  <dcterms:modified xsi:type="dcterms:W3CDTF">2022-11-28T14:33:00Z</dcterms:modified>
</cp:coreProperties>
</file>