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55A4" w14:textId="77777777" w:rsidR="00BB275E" w:rsidRDefault="00BB275E" w:rsidP="00BB275E">
      <w:pPr>
        <w:pStyle w:val="berschrift1"/>
        <w:spacing w:before="0"/>
      </w:pPr>
      <w:r>
        <w:t>Einführung von Energiebuchhaltung und Monitoring der Treibhausgase</w:t>
      </w:r>
    </w:p>
    <w:p w14:paraId="32B97ADA"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b/>
          <w:bCs/>
        </w:rPr>
      </w:pPr>
    </w:p>
    <w:p w14:paraId="10AAC3DB"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b/>
          <w:bCs/>
        </w:rPr>
      </w:pPr>
      <w:r>
        <w:rPr>
          <w:b/>
          <w:bCs/>
        </w:rPr>
        <w:t>Hintergrund</w:t>
      </w:r>
    </w:p>
    <w:p w14:paraId="0228670E"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pPr>
      <w:r>
        <w:t xml:space="preserve">Nur wenn der Status quo des Energieverbrauchs, der Energieproduktion und der Treibhausgasemissionen bekannt ist, ist es möglich, eine Zielsetzung zu formulieren sowie Verbesserungen zu sehen und zu kommunizieren. Ein Monitoring mit gleichbleibender Methodik ist daher zwingend notwendig. Grundsätzlich gibt es in vielen Bundesländern Hilfestellungen bei der Einführung der Energiebuchhaltung. Ein Monitoring der gesamten Treibhausgase wird durch fachliche Unterstützung möglich sein. </w:t>
      </w:r>
    </w:p>
    <w:p w14:paraId="630623EE"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p>
    <w:p w14:paraId="7D9D42DE"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pPr>
      <w:r>
        <w:rPr>
          <w:rFonts w:ascii="Calibri" w:eastAsia="Calibri" w:hAnsi="Calibri" w:cs="Calibri"/>
          <w:b/>
          <w:color w:val="000000"/>
        </w:rPr>
        <w:t>Beschluss</w:t>
      </w:r>
    </w:p>
    <w:p w14:paraId="151B3497"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bookmarkStart w:id="0" w:name="_Hlk120093566"/>
      <w:r>
        <w:rPr>
          <w:rFonts w:ascii="Calibri" w:eastAsia="Calibri" w:hAnsi="Calibri" w:cs="Calibri"/>
          <w:color w:val="000000"/>
        </w:rPr>
        <w:t xml:space="preserve">Der Gemeinderat beschließt </w:t>
      </w:r>
      <w:bookmarkEnd w:id="0"/>
      <w:r>
        <w:rPr>
          <w:rFonts w:ascii="Calibri" w:eastAsia="Calibri" w:hAnsi="Calibri" w:cs="Calibri"/>
          <w:color w:val="000000"/>
        </w:rPr>
        <w:t>die Einführung einer gemeindeeigenen Energiebuchhaltung und/oder eines Monitorings der gemeindeeigenen Treibhausgase</w:t>
      </w:r>
      <w:r>
        <w:rPr>
          <w:rFonts w:ascii="Calibri" w:eastAsia="Calibri" w:hAnsi="Calibri" w:cs="Calibri"/>
          <w:b/>
          <w:color w:val="000000"/>
        </w:rPr>
        <w:t>.</w:t>
      </w:r>
    </w:p>
    <w:p w14:paraId="4FBD34BC"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p>
    <w:p w14:paraId="289CECC3"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r>
        <w:rPr>
          <w:rFonts w:ascii="Calibri" w:eastAsia="Calibri" w:hAnsi="Calibri" w:cs="Calibri"/>
          <w:b/>
          <w:color w:val="000000"/>
        </w:rPr>
        <w:t>Erläuterung</w:t>
      </w:r>
    </w:p>
    <w:p w14:paraId="2733ADDD"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bCs/>
        </w:rPr>
      </w:pPr>
      <w:r>
        <w:rPr>
          <w:rFonts w:ascii="Calibri" w:eastAsia="Calibri" w:hAnsi="Calibri" w:cs="Calibri"/>
          <w:bCs/>
          <w:color w:val="000000"/>
        </w:rPr>
        <w:t xml:space="preserve">Bei Energiebuchhaltungssystemen gibt es unterschiedlichste Methoden und Softwareanbieter. Ein österreichweit standardisiertes Werkzeug für THG-Monitoring in Gemeinden ist nicht verfügbar. </w:t>
      </w:r>
    </w:p>
    <w:p w14:paraId="04A1B388" w14:textId="77777777" w:rsidR="00BB275E" w:rsidRDefault="00BB275E" w:rsidP="00BB275E">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p>
    <w:p w14:paraId="4A711D61" w14:textId="77777777" w:rsidR="00BB275E" w:rsidRPr="00B72A25" w:rsidRDefault="00BB275E" w:rsidP="00BB275E">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r>
        <w:rPr>
          <w:rFonts w:ascii="Calibri" w:eastAsia="Calibri" w:hAnsi="Calibri" w:cs="Calibri"/>
          <w:b/>
          <w:color w:val="000000"/>
        </w:rPr>
        <w:t>Förderungen und Hilfestellung</w:t>
      </w:r>
    </w:p>
    <w:p w14:paraId="7080FC2F" w14:textId="77777777" w:rsidR="00BB275E" w:rsidRPr="00B72A25" w:rsidRDefault="00BB275E" w:rsidP="00BB275E">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Cs/>
          <w:color w:val="000000"/>
        </w:rPr>
      </w:pPr>
      <w:r w:rsidRPr="00B72A25">
        <w:rPr>
          <w:rFonts w:ascii="Calibri" w:eastAsia="Calibri" w:hAnsi="Calibri" w:cs="Calibri"/>
          <w:bCs/>
          <w:color w:val="000000"/>
        </w:rPr>
        <w:t>Bundeslandspezifisch</w:t>
      </w:r>
    </w:p>
    <w:p w14:paraId="1F579122" w14:textId="77777777" w:rsidR="00BB275E" w:rsidRDefault="00BB275E" w:rsidP="00BB275E">
      <w:r>
        <w:t xml:space="preserve">Klima- und Energie-Modellregionen können die Einführung als Maßnahme darstellen. </w:t>
      </w:r>
    </w:p>
    <w:p w14:paraId="44222F42" w14:textId="77777777" w:rsidR="00723915" w:rsidRDefault="00723915"/>
    <w:sectPr w:rsidR="0072391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77FF" w14:textId="77777777" w:rsidR="00BF2F3D" w:rsidRDefault="00BF2F3D" w:rsidP="00BB275E">
      <w:pPr>
        <w:spacing w:after="0" w:line="240" w:lineRule="auto"/>
      </w:pPr>
      <w:r>
        <w:separator/>
      </w:r>
    </w:p>
  </w:endnote>
  <w:endnote w:type="continuationSeparator" w:id="0">
    <w:p w14:paraId="6C6EBE9B" w14:textId="77777777" w:rsidR="00BF2F3D" w:rsidRDefault="00BF2F3D" w:rsidP="00BB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F8BB" w14:textId="77777777" w:rsidR="00BF2F3D" w:rsidRDefault="00BF2F3D" w:rsidP="00BB275E">
      <w:pPr>
        <w:spacing w:after="0" w:line="240" w:lineRule="auto"/>
      </w:pPr>
      <w:r>
        <w:separator/>
      </w:r>
    </w:p>
  </w:footnote>
  <w:footnote w:type="continuationSeparator" w:id="0">
    <w:p w14:paraId="2B241676" w14:textId="77777777" w:rsidR="00BF2F3D" w:rsidRDefault="00BF2F3D" w:rsidP="00BB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EED" w14:textId="77777777" w:rsidR="00BB275E" w:rsidRDefault="00BB275E" w:rsidP="00BB275E">
    <w:pPr>
      <w:pStyle w:val="Kopfzeile"/>
      <w:jc w:val="center"/>
      <w:rPr>
        <w:b/>
        <w:bCs/>
        <w:sz w:val="32"/>
        <w:szCs w:val="32"/>
      </w:rPr>
    </w:pPr>
    <w:r>
      <w:rPr>
        <w:sz w:val="32"/>
        <w:szCs w:val="32"/>
      </w:rPr>
      <w:t>Gemeinderatsbeschlüsse im Bereich</w:t>
    </w:r>
    <w:r>
      <w:rPr>
        <w:b/>
        <w:bCs/>
        <w:sz w:val="32"/>
        <w:szCs w:val="32"/>
      </w:rPr>
      <w:t xml:space="preserve"> </w:t>
    </w:r>
  </w:p>
  <w:p w14:paraId="5F2B73B4" w14:textId="77777777" w:rsidR="00BB275E" w:rsidRDefault="00BB275E" w:rsidP="00BB275E">
    <w:pPr>
      <w:pStyle w:val="Kopfzeile"/>
      <w:jc w:val="center"/>
      <w:rPr>
        <w:b/>
        <w:bCs/>
        <w:sz w:val="32"/>
        <w:szCs w:val="32"/>
      </w:rPr>
    </w:pPr>
    <w:r>
      <w:rPr>
        <w:b/>
        <w:bCs/>
        <w:sz w:val="32"/>
        <w:szCs w:val="32"/>
      </w:rPr>
      <w:t>Allgemeines</w:t>
    </w:r>
  </w:p>
  <w:p w14:paraId="7219DEE0" w14:textId="77777777" w:rsidR="00BB275E" w:rsidRPr="00BB275E" w:rsidRDefault="00BB275E" w:rsidP="00BB27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91F8E"/>
    <w:multiLevelType w:val="hybridMultilevel"/>
    <w:tmpl w:val="98E64812"/>
    <w:lvl w:ilvl="0" w:tplc="4CD28F20">
      <w:start w:val="1"/>
      <w:numFmt w:val="decimal"/>
      <w:lvlText w:val="%1."/>
      <w:lvlJc w:val="left"/>
      <w:pPr>
        <w:ind w:left="360" w:hanging="360"/>
      </w:pPr>
      <w:rPr>
        <w:rFonts w:hint="default"/>
      </w:rPr>
    </w:lvl>
    <w:lvl w:ilvl="1" w:tplc="5C440A92">
      <w:start w:val="1"/>
      <w:numFmt w:val="lowerLetter"/>
      <w:lvlText w:val="%2."/>
      <w:lvlJc w:val="left"/>
      <w:pPr>
        <w:ind w:left="1440" w:hanging="360"/>
      </w:pPr>
    </w:lvl>
    <w:lvl w:ilvl="2" w:tplc="C2249BDE">
      <w:start w:val="1"/>
      <w:numFmt w:val="lowerRoman"/>
      <w:lvlText w:val="%3."/>
      <w:lvlJc w:val="right"/>
      <w:pPr>
        <w:ind w:left="2160" w:hanging="180"/>
      </w:pPr>
    </w:lvl>
    <w:lvl w:ilvl="3" w:tplc="3230ACB6">
      <w:start w:val="1"/>
      <w:numFmt w:val="decimal"/>
      <w:lvlText w:val="%4."/>
      <w:lvlJc w:val="left"/>
      <w:pPr>
        <w:ind w:left="2880" w:hanging="360"/>
      </w:pPr>
    </w:lvl>
    <w:lvl w:ilvl="4" w:tplc="3362816E">
      <w:start w:val="1"/>
      <w:numFmt w:val="lowerLetter"/>
      <w:lvlText w:val="%5."/>
      <w:lvlJc w:val="left"/>
      <w:pPr>
        <w:ind w:left="3600" w:hanging="360"/>
      </w:pPr>
    </w:lvl>
    <w:lvl w:ilvl="5" w:tplc="CD20BFDA">
      <w:start w:val="1"/>
      <w:numFmt w:val="lowerRoman"/>
      <w:lvlText w:val="%6."/>
      <w:lvlJc w:val="right"/>
      <w:pPr>
        <w:ind w:left="4320" w:hanging="180"/>
      </w:pPr>
    </w:lvl>
    <w:lvl w:ilvl="6" w:tplc="9AAC6682">
      <w:start w:val="1"/>
      <w:numFmt w:val="decimal"/>
      <w:lvlText w:val="%7."/>
      <w:lvlJc w:val="left"/>
      <w:pPr>
        <w:ind w:left="5040" w:hanging="360"/>
      </w:pPr>
    </w:lvl>
    <w:lvl w:ilvl="7" w:tplc="E0C4485A">
      <w:start w:val="1"/>
      <w:numFmt w:val="lowerLetter"/>
      <w:lvlText w:val="%8."/>
      <w:lvlJc w:val="left"/>
      <w:pPr>
        <w:ind w:left="5760" w:hanging="360"/>
      </w:pPr>
    </w:lvl>
    <w:lvl w:ilvl="8" w:tplc="F662C338">
      <w:start w:val="1"/>
      <w:numFmt w:val="lowerRoman"/>
      <w:lvlText w:val="%9."/>
      <w:lvlJc w:val="right"/>
      <w:pPr>
        <w:ind w:left="6480" w:hanging="180"/>
      </w:pPr>
    </w:lvl>
  </w:abstractNum>
  <w:num w:numId="1" w16cid:durableId="210383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5E"/>
    <w:rsid w:val="0015791E"/>
    <w:rsid w:val="00723915"/>
    <w:rsid w:val="009A6F0F"/>
    <w:rsid w:val="00BB275E"/>
    <w:rsid w:val="00BF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D4B5"/>
  <w15:chartTrackingRefBased/>
  <w15:docId w15:val="{CE78A94B-DEC5-4A7B-846B-F6172EE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275E"/>
    <w:rPr>
      <w:lang w:val="de-AT"/>
    </w:rPr>
  </w:style>
  <w:style w:type="paragraph" w:styleId="berschrift1">
    <w:name w:val="heading 1"/>
    <w:basedOn w:val="Standard"/>
    <w:next w:val="Standard"/>
    <w:link w:val="berschrift1Zchn"/>
    <w:uiPriority w:val="9"/>
    <w:qFormat/>
    <w:rsid w:val="00BB275E"/>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75E"/>
    <w:rPr>
      <w:rFonts w:asciiTheme="majorHAnsi" w:eastAsia="Arial" w:hAnsiTheme="majorHAnsi" w:cs="Arial"/>
      <w:b/>
      <w:sz w:val="40"/>
      <w:szCs w:val="40"/>
      <w:lang w:val="de-AT"/>
    </w:rPr>
  </w:style>
  <w:style w:type="paragraph" w:styleId="Kopfzeile">
    <w:name w:val="header"/>
    <w:basedOn w:val="Standard"/>
    <w:link w:val="KopfzeileZchn"/>
    <w:uiPriority w:val="99"/>
    <w:unhideWhenUsed/>
    <w:rsid w:val="00BB2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75E"/>
    <w:rPr>
      <w:lang w:val="de-AT"/>
    </w:rPr>
  </w:style>
  <w:style w:type="paragraph" w:styleId="Fuzeile">
    <w:name w:val="footer"/>
    <w:basedOn w:val="Standard"/>
    <w:link w:val="FuzeileZchn"/>
    <w:uiPriority w:val="99"/>
    <w:unhideWhenUsed/>
    <w:rsid w:val="00BB2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75E"/>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914</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1</cp:revision>
  <dcterms:created xsi:type="dcterms:W3CDTF">2022-11-28T11:20:00Z</dcterms:created>
  <dcterms:modified xsi:type="dcterms:W3CDTF">2022-11-28T11:22:00Z</dcterms:modified>
</cp:coreProperties>
</file>