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311A" w14:textId="77777777" w:rsidR="00E17D2C" w:rsidRDefault="00E17D2C" w:rsidP="00E17D2C">
      <w:pPr>
        <w:pStyle w:val="berschrift1"/>
      </w:pPr>
      <w:bookmarkStart w:id="0" w:name="_Hlk117777529"/>
      <w:r>
        <w:t>Budget für Klimaschutzmaßnahmen</w:t>
      </w:r>
    </w:p>
    <w:bookmarkEnd w:id="0"/>
    <w:p w14:paraId="69A06EE9" w14:textId="77777777" w:rsidR="00E17D2C" w:rsidRDefault="00E17D2C" w:rsidP="00E17D2C">
      <w:pPr>
        <w:rPr>
          <w:b/>
          <w:bCs/>
        </w:rPr>
      </w:pPr>
      <w:r>
        <w:rPr>
          <w:b/>
          <w:bCs/>
        </w:rPr>
        <w:t>Hintergrund</w:t>
      </w:r>
    </w:p>
    <w:p w14:paraId="4ACBD0E3" w14:textId="77777777" w:rsidR="00E17D2C" w:rsidRDefault="00E17D2C" w:rsidP="00E17D2C">
      <w:r>
        <w:t>Ein stabiles planbares Budget z. B. für den Ausbau von erneuerbaren Energien oder Energieeffizienzmaßnahmen ist ein wesentlicher Baustein, um als Gemeinde aktiv Klimaschutzpolitik betreiben zu können. Methodisch sind hier unterschiedliche Ansätze möglich:</w:t>
      </w:r>
    </w:p>
    <w:p w14:paraId="08197D85" w14:textId="77777777" w:rsidR="00E17D2C" w:rsidRDefault="00E17D2C" w:rsidP="00E17D2C">
      <w:pPr>
        <w:pStyle w:val="Listenabsatz"/>
        <w:numPr>
          <w:ilvl w:val="0"/>
          <w:numId w:val="3"/>
        </w:numPr>
      </w:pPr>
      <w:r>
        <w:t>Jährlich steigendes Budget</w:t>
      </w:r>
    </w:p>
    <w:p w14:paraId="54F0FDC1" w14:textId="77777777" w:rsidR="00E17D2C" w:rsidRDefault="00E17D2C" w:rsidP="00E17D2C">
      <w:pPr>
        <w:pStyle w:val="Listenabsatz"/>
        <w:numPr>
          <w:ilvl w:val="0"/>
          <w:numId w:val="3"/>
        </w:numPr>
      </w:pPr>
      <w:r>
        <w:t>Budget abhängig von eigenen CO</w:t>
      </w:r>
      <w:r w:rsidRPr="00B72A25">
        <w:rPr>
          <w:vertAlign w:val="subscript"/>
        </w:rPr>
        <w:t>2</w:t>
      </w:r>
      <w:r>
        <w:t>-Emissionen (siehe Beschluss Großschönau)</w:t>
      </w:r>
    </w:p>
    <w:p w14:paraId="3C43B5EC" w14:textId="77777777" w:rsidR="00E17D2C" w:rsidRDefault="00E17D2C" w:rsidP="00E17D2C">
      <w:pPr>
        <w:pStyle w:val="Listenabsatz"/>
        <w:numPr>
          <w:ilvl w:val="0"/>
          <w:numId w:val="3"/>
        </w:numPr>
      </w:pPr>
      <w:r w:rsidRPr="007C2825">
        <w:t>Fixer Prozentsatz des Gemeindebudgets</w:t>
      </w:r>
    </w:p>
    <w:p w14:paraId="0CA6EC4A" w14:textId="77777777" w:rsidR="00E17D2C" w:rsidRPr="007C2825" w:rsidRDefault="00E17D2C" w:rsidP="00E17D2C">
      <w:pPr>
        <w:pStyle w:val="Listenabsatz"/>
      </w:pPr>
    </w:p>
    <w:p w14:paraId="7AC38648" w14:textId="77777777" w:rsidR="00E17D2C" w:rsidRPr="00C901B8" w:rsidRDefault="00E17D2C" w:rsidP="00E17D2C">
      <w:pPr>
        <w:rPr>
          <w:b/>
          <w:bCs/>
        </w:rPr>
      </w:pPr>
      <w:r>
        <w:rPr>
          <w:b/>
          <w:bCs/>
        </w:rPr>
        <w:t>Beschluss</w:t>
      </w:r>
    </w:p>
    <w:p w14:paraId="3A036939" w14:textId="77777777" w:rsidR="00E17D2C" w:rsidRDefault="00E17D2C" w:rsidP="00E17D2C">
      <w:r>
        <w:rPr>
          <w:rFonts w:ascii="Calibri" w:eastAsia="Calibri" w:hAnsi="Calibri" w:cs="Calibri"/>
          <w:color w:val="000000"/>
        </w:rPr>
        <w:t xml:space="preserve">Der Gemeinderat </w:t>
      </w:r>
      <w:r>
        <w:t xml:space="preserve">beschließt ein jährliches Budget in der Höhe von x Euro, gewidmet für Zwecke des Klimaschutzes. Darunter fällt: </w:t>
      </w:r>
    </w:p>
    <w:p w14:paraId="2FE88D4B" w14:textId="77777777" w:rsidR="00E17D2C" w:rsidRDefault="00E17D2C" w:rsidP="00E17D2C">
      <w:pPr>
        <w:pStyle w:val="Listenabsatz"/>
        <w:numPr>
          <w:ilvl w:val="0"/>
          <w:numId w:val="3"/>
        </w:numPr>
      </w:pPr>
      <w:r>
        <w:t>Energieversorgung</w:t>
      </w:r>
    </w:p>
    <w:p w14:paraId="07814B12" w14:textId="77777777" w:rsidR="00E17D2C" w:rsidRDefault="00E17D2C" w:rsidP="00E17D2C">
      <w:pPr>
        <w:pStyle w:val="Listenabsatz"/>
        <w:numPr>
          <w:ilvl w:val="0"/>
          <w:numId w:val="3"/>
        </w:numPr>
      </w:pPr>
      <w:r>
        <w:t>Energieeffizienz</w:t>
      </w:r>
    </w:p>
    <w:p w14:paraId="06299655" w14:textId="77777777" w:rsidR="00E17D2C" w:rsidRDefault="00E17D2C" w:rsidP="00E17D2C">
      <w:pPr>
        <w:pStyle w:val="Listenabsatz"/>
        <w:numPr>
          <w:ilvl w:val="0"/>
          <w:numId w:val="3"/>
        </w:numPr>
      </w:pPr>
      <w:r>
        <w:t>Mobilität u. Ä.</w:t>
      </w:r>
    </w:p>
    <w:p w14:paraId="0478F57A" w14:textId="77777777" w:rsidR="00E17D2C" w:rsidRDefault="00E17D2C" w:rsidP="00E17D2C">
      <w:pPr>
        <w:pStyle w:val="Listenabsatz"/>
      </w:pPr>
    </w:p>
    <w:p w14:paraId="2F6DFE72" w14:textId="77777777" w:rsidR="00E17D2C" w:rsidRDefault="00E17D2C" w:rsidP="00E17D2C">
      <w:pPr>
        <w:rPr>
          <w:b/>
        </w:rPr>
      </w:pPr>
      <w:r>
        <w:rPr>
          <w:b/>
        </w:rPr>
        <w:t>Erläuterung</w:t>
      </w:r>
    </w:p>
    <w:p w14:paraId="29C72CF0" w14:textId="77777777" w:rsidR="00E17D2C" w:rsidRDefault="00E17D2C" w:rsidP="00E17D2C"/>
    <w:p w14:paraId="5913BEA4" w14:textId="77777777" w:rsidR="00E17D2C" w:rsidRPr="00DC60BF" w:rsidRDefault="00E17D2C" w:rsidP="00E17D2C">
      <w:pPr>
        <w:rPr>
          <w:b/>
          <w:bCs/>
        </w:rPr>
      </w:pPr>
      <w:r w:rsidRPr="00B72A25">
        <w:rPr>
          <w:b/>
          <w:bCs/>
        </w:rPr>
        <w:t>Förderungen und Hilfestellung</w:t>
      </w:r>
    </w:p>
    <w:p w14:paraId="6585700B" w14:textId="77777777" w:rsidR="00E17D2C" w:rsidRPr="00D317C6" w:rsidRDefault="00E17D2C" w:rsidP="00E17D2C">
      <w:pPr>
        <w:spacing w:after="0"/>
      </w:pPr>
      <w:r w:rsidRPr="00D317C6">
        <w:t xml:space="preserve">Grundsatzbeschluss Großschönau </w:t>
      </w:r>
      <w:bookmarkStart w:id="1" w:name="_Hlk117777598"/>
      <w:r w:rsidRPr="00D317C6">
        <w:t>16.12.2021 - klimaneutrale CO</w:t>
      </w:r>
      <w:r w:rsidRPr="00DC60BF">
        <w:rPr>
          <w:vertAlign w:val="subscript"/>
        </w:rPr>
        <w:t>2</w:t>
      </w:r>
      <w:r>
        <w:t>-</w:t>
      </w:r>
      <w:r w:rsidRPr="00D317C6">
        <w:t>Transformation</w:t>
      </w:r>
      <w:bookmarkEnd w:id="1"/>
      <w:r>
        <w:t>:</w:t>
      </w:r>
    </w:p>
    <w:p w14:paraId="4B28475D" w14:textId="77777777" w:rsidR="00E17D2C" w:rsidRDefault="00E17D2C" w:rsidP="00E17D2C">
      <w:pPr>
        <w:rPr>
          <w:lang w:val="de-DE"/>
        </w:rPr>
      </w:pPr>
      <w:hyperlink r:id="rId7" w:history="1">
        <w:r>
          <w:rPr>
            <w:rStyle w:val="Hyperlink"/>
            <w:lang w:val="de-DE"/>
          </w:rPr>
          <w:t>https://www.klimafonds.gv.at/wp-content/uploads/sites/16/Grundsatzbeschluss_klimaneutrale_Transformation_CO2_16.12.2021.pdf</w:t>
        </w:r>
      </w:hyperlink>
    </w:p>
    <w:p w14:paraId="44222F42" w14:textId="45D199AF" w:rsidR="00723915" w:rsidRPr="006E3A8E" w:rsidRDefault="00723915" w:rsidP="006E3A8E"/>
    <w:sectPr w:rsidR="00723915" w:rsidRPr="006E3A8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77F0" w14:textId="77777777" w:rsidR="005C4F7E" w:rsidRDefault="005C4F7E" w:rsidP="00BB275E">
      <w:pPr>
        <w:spacing w:after="0" w:line="240" w:lineRule="auto"/>
      </w:pPr>
      <w:r>
        <w:separator/>
      </w:r>
    </w:p>
  </w:endnote>
  <w:endnote w:type="continuationSeparator" w:id="0">
    <w:p w14:paraId="29666197" w14:textId="77777777" w:rsidR="005C4F7E" w:rsidRDefault="005C4F7E" w:rsidP="00BB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05F9" w14:textId="77777777" w:rsidR="005C4F7E" w:rsidRDefault="005C4F7E" w:rsidP="00BB275E">
      <w:pPr>
        <w:spacing w:after="0" w:line="240" w:lineRule="auto"/>
      </w:pPr>
      <w:r>
        <w:separator/>
      </w:r>
    </w:p>
  </w:footnote>
  <w:footnote w:type="continuationSeparator" w:id="0">
    <w:p w14:paraId="219301D4" w14:textId="77777777" w:rsidR="005C4F7E" w:rsidRDefault="005C4F7E" w:rsidP="00BB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EED" w14:textId="77777777" w:rsidR="00BB275E" w:rsidRDefault="00BB275E" w:rsidP="00BB275E">
    <w:pPr>
      <w:pStyle w:val="Kopfzeile"/>
      <w:jc w:val="center"/>
      <w:rPr>
        <w:b/>
        <w:bCs/>
        <w:sz w:val="32"/>
        <w:szCs w:val="32"/>
      </w:rPr>
    </w:pPr>
    <w:r>
      <w:rPr>
        <w:sz w:val="32"/>
        <w:szCs w:val="32"/>
      </w:rPr>
      <w:t>Gemeinderatsbeschlüsse im Bereich</w:t>
    </w:r>
    <w:r>
      <w:rPr>
        <w:b/>
        <w:bCs/>
        <w:sz w:val="32"/>
        <w:szCs w:val="32"/>
      </w:rPr>
      <w:t xml:space="preserve"> </w:t>
    </w:r>
  </w:p>
  <w:p w14:paraId="5F2B73B4" w14:textId="77777777" w:rsidR="00BB275E" w:rsidRDefault="00BB275E" w:rsidP="00BB275E">
    <w:pPr>
      <w:pStyle w:val="Kopfzeile"/>
      <w:jc w:val="center"/>
      <w:rPr>
        <w:b/>
        <w:bCs/>
        <w:sz w:val="32"/>
        <w:szCs w:val="32"/>
      </w:rPr>
    </w:pPr>
    <w:r>
      <w:rPr>
        <w:b/>
        <w:bCs/>
        <w:sz w:val="32"/>
        <w:szCs w:val="32"/>
      </w:rPr>
      <w:t>Allgemeines</w:t>
    </w:r>
  </w:p>
  <w:p w14:paraId="7219DEE0" w14:textId="77777777" w:rsidR="00BB275E" w:rsidRPr="00BB275E" w:rsidRDefault="00BB275E" w:rsidP="00BB27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147"/>
    <w:multiLevelType w:val="hybridMultilevel"/>
    <w:tmpl w:val="EEE44D82"/>
    <w:lvl w:ilvl="0" w:tplc="FBD489DC">
      <w:start w:val="5"/>
      <w:numFmt w:val="bullet"/>
      <w:lvlText w:val="-"/>
      <w:lvlJc w:val="left"/>
      <w:pPr>
        <w:ind w:left="720" w:hanging="360"/>
      </w:pPr>
      <w:rPr>
        <w:rFonts w:ascii="Calibri" w:eastAsiaTheme="minorHAnsi" w:hAnsi="Calibri" w:cs="Calibri" w:hint="default"/>
      </w:rPr>
    </w:lvl>
    <w:lvl w:ilvl="1" w:tplc="5C92E636">
      <w:start w:val="1"/>
      <w:numFmt w:val="bullet"/>
      <w:lvlText w:val="o"/>
      <w:lvlJc w:val="left"/>
      <w:pPr>
        <w:ind w:left="1440" w:hanging="360"/>
      </w:pPr>
      <w:rPr>
        <w:rFonts w:ascii="Courier New" w:hAnsi="Courier New" w:cs="Courier New" w:hint="default"/>
      </w:rPr>
    </w:lvl>
    <w:lvl w:ilvl="2" w:tplc="36D04042">
      <w:start w:val="1"/>
      <w:numFmt w:val="bullet"/>
      <w:lvlText w:val=""/>
      <w:lvlJc w:val="left"/>
      <w:pPr>
        <w:ind w:left="2160" w:hanging="360"/>
      </w:pPr>
      <w:rPr>
        <w:rFonts w:ascii="Wingdings" w:hAnsi="Wingdings" w:hint="default"/>
      </w:rPr>
    </w:lvl>
    <w:lvl w:ilvl="3" w:tplc="97CE386E">
      <w:start w:val="1"/>
      <w:numFmt w:val="bullet"/>
      <w:lvlText w:val=""/>
      <w:lvlJc w:val="left"/>
      <w:pPr>
        <w:ind w:left="2880" w:hanging="360"/>
      </w:pPr>
      <w:rPr>
        <w:rFonts w:ascii="Symbol" w:hAnsi="Symbol" w:hint="default"/>
      </w:rPr>
    </w:lvl>
    <w:lvl w:ilvl="4" w:tplc="44FCE93C">
      <w:start w:val="1"/>
      <w:numFmt w:val="bullet"/>
      <w:lvlText w:val="o"/>
      <w:lvlJc w:val="left"/>
      <w:pPr>
        <w:ind w:left="3600" w:hanging="360"/>
      </w:pPr>
      <w:rPr>
        <w:rFonts w:ascii="Courier New" w:hAnsi="Courier New" w:cs="Courier New" w:hint="default"/>
      </w:rPr>
    </w:lvl>
    <w:lvl w:ilvl="5" w:tplc="476C66D2">
      <w:start w:val="1"/>
      <w:numFmt w:val="bullet"/>
      <w:lvlText w:val=""/>
      <w:lvlJc w:val="left"/>
      <w:pPr>
        <w:ind w:left="4320" w:hanging="360"/>
      </w:pPr>
      <w:rPr>
        <w:rFonts w:ascii="Wingdings" w:hAnsi="Wingdings" w:hint="default"/>
      </w:rPr>
    </w:lvl>
    <w:lvl w:ilvl="6" w:tplc="1146E91E">
      <w:start w:val="1"/>
      <w:numFmt w:val="bullet"/>
      <w:lvlText w:val=""/>
      <w:lvlJc w:val="left"/>
      <w:pPr>
        <w:ind w:left="5040" w:hanging="360"/>
      </w:pPr>
      <w:rPr>
        <w:rFonts w:ascii="Symbol" w:hAnsi="Symbol" w:hint="default"/>
      </w:rPr>
    </w:lvl>
    <w:lvl w:ilvl="7" w:tplc="D52A4034">
      <w:start w:val="1"/>
      <w:numFmt w:val="bullet"/>
      <w:lvlText w:val="o"/>
      <w:lvlJc w:val="left"/>
      <w:pPr>
        <w:ind w:left="5760" w:hanging="360"/>
      </w:pPr>
      <w:rPr>
        <w:rFonts w:ascii="Courier New" w:hAnsi="Courier New" w:cs="Courier New" w:hint="default"/>
      </w:rPr>
    </w:lvl>
    <w:lvl w:ilvl="8" w:tplc="925A133E">
      <w:start w:val="1"/>
      <w:numFmt w:val="bullet"/>
      <w:lvlText w:val=""/>
      <w:lvlJc w:val="left"/>
      <w:pPr>
        <w:ind w:left="6480" w:hanging="360"/>
      </w:pPr>
      <w:rPr>
        <w:rFonts w:ascii="Wingdings" w:hAnsi="Wingdings" w:hint="default"/>
      </w:rPr>
    </w:lvl>
  </w:abstractNum>
  <w:abstractNum w:abstractNumId="1" w15:restartNumberingAfterBreak="0">
    <w:nsid w:val="69291F8E"/>
    <w:multiLevelType w:val="hybridMultilevel"/>
    <w:tmpl w:val="98E64812"/>
    <w:lvl w:ilvl="0" w:tplc="4CD28F20">
      <w:start w:val="1"/>
      <w:numFmt w:val="decimal"/>
      <w:lvlText w:val="%1."/>
      <w:lvlJc w:val="left"/>
      <w:pPr>
        <w:ind w:left="360" w:hanging="360"/>
      </w:pPr>
      <w:rPr>
        <w:rFonts w:hint="default"/>
      </w:rPr>
    </w:lvl>
    <w:lvl w:ilvl="1" w:tplc="5C440A92">
      <w:start w:val="1"/>
      <w:numFmt w:val="lowerLetter"/>
      <w:lvlText w:val="%2."/>
      <w:lvlJc w:val="left"/>
      <w:pPr>
        <w:ind w:left="1440" w:hanging="360"/>
      </w:pPr>
    </w:lvl>
    <w:lvl w:ilvl="2" w:tplc="C2249BDE">
      <w:start w:val="1"/>
      <w:numFmt w:val="lowerRoman"/>
      <w:lvlText w:val="%3."/>
      <w:lvlJc w:val="right"/>
      <w:pPr>
        <w:ind w:left="2160" w:hanging="180"/>
      </w:pPr>
    </w:lvl>
    <w:lvl w:ilvl="3" w:tplc="3230ACB6">
      <w:start w:val="1"/>
      <w:numFmt w:val="decimal"/>
      <w:lvlText w:val="%4."/>
      <w:lvlJc w:val="left"/>
      <w:pPr>
        <w:ind w:left="2880" w:hanging="360"/>
      </w:pPr>
    </w:lvl>
    <w:lvl w:ilvl="4" w:tplc="3362816E">
      <w:start w:val="1"/>
      <w:numFmt w:val="lowerLetter"/>
      <w:lvlText w:val="%5."/>
      <w:lvlJc w:val="left"/>
      <w:pPr>
        <w:ind w:left="3600" w:hanging="360"/>
      </w:pPr>
    </w:lvl>
    <w:lvl w:ilvl="5" w:tplc="CD20BFDA">
      <w:start w:val="1"/>
      <w:numFmt w:val="lowerRoman"/>
      <w:lvlText w:val="%6."/>
      <w:lvlJc w:val="right"/>
      <w:pPr>
        <w:ind w:left="4320" w:hanging="180"/>
      </w:pPr>
    </w:lvl>
    <w:lvl w:ilvl="6" w:tplc="9AAC6682">
      <w:start w:val="1"/>
      <w:numFmt w:val="decimal"/>
      <w:lvlText w:val="%7."/>
      <w:lvlJc w:val="left"/>
      <w:pPr>
        <w:ind w:left="5040" w:hanging="360"/>
      </w:pPr>
    </w:lvl>
    <w:lvl w:ilvl="7" w:tplc="E0C4485A">
      <w:start w:val="1"/>
      <w:numFmt w:val="lowerLetter"/>
      <w:lvlText w:val="%8."/>
      <w:lvlJc w:val="left"/>
      <w:pPr>
        <w:ind w:left="5760" w:hanging="360"/>
      </w:pPr>
    </w:lvl>
    <w:lvl w:ilvl="8" w:tplc="F662C338">
      <w:start w:val="1"/>
      <w:numFmt w:val="lowerRoman"/>
      <w:lvlText w:val="%9."/>
      <w:lvlJc w:val="right"/>
      <w:pPr>
        <w:ind w:left="6480" w:hanging="180"/>
      </w:pPr>
    </w:lvl>
  </w:abstractNum>
  <w:abstractNum w:abstractNumId="2" w15:restartNumberingAfterBreak="0">
    <w:nsid w:val="770A0047"/>
    <w:multiLevelType w:val="hybridMultilevel"/>
    <w:tmpl w:val="B02062EC"/>
    <w:lvl w:ilvl="0" w:tplc="6A7ED222">
      <w:start w:val="5"/>
      <w:numFmt w:val="bullet"/>
      <w:lvlText w:val="-"/>
      <w:lvlJc w:val="left"/>
      <w:pPr>
        <w:ind w:left="720" w:hanging="360"/>
      </w:pPr>
      <w:rPr>
        <w:rFonts w:ascii="Calibri" w:eastAsiaTheme="minorHAnsi" w:hAnsi="Calibri" w:cs="Calibri" w:hint="default"/>
      </w:rPr>
    </w:lvl>
    <w:lvl w:ilvl="1" w:tplc="F6026662">
      <w:start w:val="1"/>
      <w:numFmt w:val="bullet"/>
      <w:lvlText w:val="o"/>
      <w:lvlJc w:val="left"/>
      <w:pPr>
        <w:ind w:left="1440" w:hanging="360"/>
      </w:pPr>
      <w:rPr>
        <w:rFonts w:ascii="Courier New" w:hAnsi="Courier New" w:cs="Courier New" w:hint="default"/>
      </w:rPr>
    </w:lvl>
    <w:lvl w:ilvl="2" w:tplc="455E979C">
      <w:start w:val="1"/>
      <w:numFmt w:val="bullet"/>
      <w:lvlText w:val=""/>
      <w:lvlJc w:val="left"/>
      <w:pPr>
        <w:ind w:left="2160" w:hanging="360"/>
      </w:pPr>
      <w:rPr>
        <w:rFonts w:ascii="Wingdings" w:hAnsi="Wingdings" w:hint="default"/>
      </w:rPr>
    </w:lvl>
    <w:lvl w:ilvl="3" w:tplc="E29C24F6">
      <w:start w:val="1"/>
      <w:numFmt w:val="bullet"/>
      <w:lvlText w:val=""/>
      <w:lvlJc w:val="left"/>
      <w:pPr>
        <w:ind w:left="2880" w:hanging="360"/>
      </w:pPr>
      <w:rPr>
        <w:rFonts w:ascii="Symbol" w:hAnsi="Symbol" w:hint="default"/>
      </w:rPr>
    </w:lvl>
    <w:lvl w:ilvl="4" w:tplc="36B8983A">
      <w:start w:val="1"/>
      <w:numFmt w:val="bullet"/>
      <w:lvlText w:val="o"/>
      <w:lvlJc w:val="left"/>
      <w:pPr>
        <w:ind w:left="3600" w:hanging="360"/>
      </w:pPr>
      <w:rPr>
        <w:rFonts w:ascii="Courier New" w:hAnsi="Courier New" w:cs="Courier New" w:hint="default"/>
      </w:rPr>
    </w:lvl>
    <w:lvl w:ilvl="5" w:tplc="61403DF8">
      <w:start w:val="1"/>
      <w:numFmt w:val="bullet"/>
      <w:lvlText w:val=""/>
      <w:lvlJc w:val="left"/>
      <w:pPr>
        <w:ind w:left="4320" w:hanging="360"/>
      </w:pPr>
      <w:rPr>
        <w:rFonts w:ascii="Wingdings" w:hAnsi="Wingdings" w:hint="default"/>
      </w:rPr>
    </w:lvl>
    <w:lvl w:ilvl="6" w:tplc="E7CC364A">
      <w:start w:val="1"/>
      <w:numFmt w:val="bullet"/>
      <w:lvlText w:val=""/>
      <w:lvlJc w:val="left"/>
      <w:pPr>
        <w:ind w:left="5040" w:hanging="360"/>
      </w:pPr>
      <w:rPr>
        <w:rFonts w:ascii="Symbol" w:hAnsi="Symbol" w:hint="default"/>
      </w:rPr>
    </w:lvl>
    <w:lvl w:ilvl="7" w:tplc="18025F5C">
      <w:start w:val="1"/>
      <w:numFmt w:val="bullet"/>
      <w:lvlText w:val="o"/>
      <w:lvlJc w:val="left"/>
      <w:pPr>
        <w:ind w:left="5760" w:hanging="360"/>
      </w:pPr>
      <w:rPr>
        <w:rFonts w:ascii="Courier New" w:hAnsi="Courier New" w:cs="Courier New" w:hint="default"/>
      </w:rPr>
    </w:lvl>
    <w:lvl w:ilvl="8" w:tplc="9FAC2576">
      <w:start w:val="1"/>
      <w:numFmt w:val="bullet"/>
      <w:lvlText w:val=""/>
      <w:lvlJc w:val="left"/>
      <w:pPr>
        <w:ind w:left="6480" w:hanging="360"/>
      </w:pPr>
      <w:rPr>
        <w:rFonts w:ascii="Wingdings" w:hAnsi="Wingdings" w:hint="default"/>
      </w:rPr>
    </w:lvl>
  </w:abstractNum>
  <w:num w:numId="1" w16cid:durableId="2103839415">
    <w:abstractNumId w:val="1"/>
  </w:num>
  <w:num w:numId="2" w16cid:durableId="981424897">
    <w:abstractNumId w:val="0"/>
  </w:num>
  <w:num w:numId="3" w16cid:durableId="2094007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5E"/>
    <w:rsid w:val="0015791E"/>
    <w:rsid w:val="00354D83"/>
    <w:rsid w:val="00360898"/>
    <w:rsid w:val="00374147"/>
    <w:rsid w:val="00596230"/>
    <w:rsid w:val="005C4F7E"/>
    <w:rsid w:val="006E3A8E"/>
    <w:rsid w:val="006E3E3E"/>
    <w:rsid w:val="00711A1E"/>
    <w:rsid w:val="00723915"/>
    <w:rsid w:val="00857D90"/>
    <w:rsid w:val="00895B5E"/>
    <w:rsid w:val="009A6F0F"/>
    <w:rsid w:val="00A7305C"/>
    <w:rsid w:val="00BB275E"/>
    <w:rsid w:val="00BF2F3D"/>
    <w:rsid w:val="00E17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D4B5"/>
  <w15:chartTrackingRefBased/>
  <w15:docId w15:val="{CE78A94B-DEC5-4A7B-846B-F6172EE1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D2C"/>
    <w:rPr>
      <w:lang w:val="de-AT"/>
    </w:rPr>
  </w:style>
  <w:style w:type="paragraph" w:styleId="berschrift1">
    <w:name w:val="heading 1"/>
    <w:basedOn w:val="Standard"/>
    <w:next w:val="Standard"/>
    <w:link w:val="berschrift1Zchn"/>
    <w:uiPriority w:val="9"/>
    <w:qFormat/>
    <w:rsid w:val="00BB275E"/>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75E"/>
    <w:rPr>
      <w:rFonts w:asciiTheme="majorHAnsi" w:eastAsia="Arial" w:hAnsiTheme="majorHAnsi" w:cs="Arial"/>
      <w:b/>
      <w:sz w:val="40"/>
      <w:szCs w:val="40"/>
      <w:lang w:val="de-AT"/>
    </w:rPr>
  </w:style>
  <w:style w:type="paragraph" w:styleId="Kopfzeile">
    <w:name w:val="header"/>
    <w:basedOn w:val="Standard"/>
    <w:link w:val="KopfzeileZchn"/>
    <w:uiPriority w:val="99"/>
    <w:unhideWhenUsed/>
    <w:rsid w:val="00BB27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75E"/>
    <w:rPr>
      <w:lang w:val="de-AT"/>
    </w:rPr>
  </w:style>
  <w:style w:type="paragraph" w:styleId="Fuzeile">
    <w:name w:val="footer"/>
    <w:basedOn w:val="Standard"/>
    <w:link w:val="FuzeileZchn"/>
    <w:uiPriority w:val="99"/>
    <w:unhideWhenUsed/>
    <w:rsid w:val="00BB27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75E"/>
    <w:rPr>
      <w:lang w:val="de-AT"/>
    </w:rPr>
  </w:style>
  <w:style w:type="character" w:styleId="Hyperlink">
    <w:name w:val="Hyperlink"/>
    <w:uiPriority w:val="99"/>
    <w:unhideWhenUsed/>
    <w:rsid w:val="00354D83"/>
    <w:rPr>
      <w:color w:val="0563C1" w:themeColor="hyperlink"/>
      <w:u w:val="single"/>
    </w:rPr>
  </w:style>
  <w:style w:type="paragraph" w:styleId="Listenabsatz">
    <w:name w:val="List Paragraph"/>
    <w:basedOn w:val="Standard"/>
    <w:uiPriority w:val="34"/>
    <w:qFormat/>
    <w:rsid w:val="00596230"/>
    <w:pPr>
      <w:ind w:left="720"/>
      <w:contextualSpacing/>
    </w:pPr>
  </w:style>
  <w:style w:type="character" w:styleId="NichtaufgelsteErwhnung">
    <w:name w:val="Unresolved Mention"/>
    <w:basedOn w:val="Absatz-Standardschriftart"/>
    <w:uiPriority w:val="99"/>
    <w:semiHidden/>
    <w:unhideWhenUsed/>
    <w:rsid w:val="0089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limafonds.gv.at/wp-content/uploads/sites/16/Grundsatzbeschluss_klimaneutrale_Transformation_CO2_16.12.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896</Characters>
  <Application>Microsoft Office Word</Application>
  <DocSecurity>0</DocSecurity>
  <Lines>20</Lines>
  <Paragraphs>10</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2022-11-28T11:26:00Z</dcterms:created>
  <dcterms:modified xsi:type="dcterms:W3CDTF">2022-11-28T11:26:00Z</dcterms:modified>
</cp:coreProperties>
</file>